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83" w:rsidRDefault="002B2283">
      <w:pPr>
        <w:spacing w:after="0"/>
        <w:ind w:firstLine="240"/>
      </w:pPr>
      <w:bookmarkStart w:id="0" w:name="254"/>
    </w:p>
    <w:p w:rsidR="002B2283" w:rsidRDefault="00585EF3">
      <w:pPr>
        <w:spacing w:after="0"/>
        <w:ind w:firstLine="240"/>
        <w:jc w:val="right"/>
      </w:pPr>
      <w:bookmarkStart w:id="1" w:name="255"/>
      <w:bookmarkEnd w:id="0"/>
      <w:proofErr w:type="spellStart"/>
      <w:r>
        <w:rPr>
          <w:rFonts w:ascii="Arial"/>
          <w:color w:val="000000"/>
          <w:sz w:val="18"/>
        </w:rPr>
        <w:t>Додаток</w:t>
      </w:r>
      <w:proofErr w:type="spellEnd"/>
      <w:r>
        <w:rPr>
          <w:rFonts w:ascii="Arial"/>
          <w:color w:val="000000"/>
          <w:sz w:val="18"/>
        </w:rPr>
        <w:t xml:space="preserve"> 5</w:t>
      </w:r>
      <w:r>
        <w:br/>
      </w:r>
      <w:proofErr w:type="spellStart"/>
      <w:r>
        <w:rPr>
          <w:rFonts w:ascii="Arial"/>
          <w:color w:val="000000"/>
          <w:sz w:val="18"/>
        </w:rPr>
        <w:t>до</w:t>
      </w:r>
      <w:proofErr w:type="spellEnd"/>
      <w:r>
        <w:rPr>
          <w:rFonts w:ascii="Arial"/>
          <w:color w:val="000000"/>
          <w:sz w:val="18"/>
        </w:rPr>
        <w:t xml:space="preserve"> </w:t>
      </w:r>
      <w:proofErr w:type="spellStart"/>
      <w:r>
        <w:rPr>
          <w:rFonts w:ascii="Arial"/>
          <w:color w:val="000000"/>
          <w:sz w:val="18"/>
        </w:rPr>
        <w:t>критеріїв</w:t>
      </w:r>
      <w:proofErr w:type="spellEnd"/>
    </w:p>
    <w:p w:rsidR="002B2283" w:rsidRDefault="00585EF3">
      <w:pPr>
        <w:pStyle w:val="3"/>
        <w:spacing w:after="0"/>
        <w:jc w:val="center"/>
      </w:pPr>
      <w:bookmarkStart w:id="2" w:name="256"/>
      <w:bookmarkEnd w:id="1"/>
      <w:r>
        <w:rPr>
          <w:rFonts w:ascii="Arial"/>
          <w:color w:val="000000"/>
          <w:sz w:val="27"/>
        </w:rPr>
        <w:t>ПЕРЕЛІК</w:t>
      </w:r>
      <w:r>
        <w:br/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критеріїв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за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якими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оцінюється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ступінь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ризику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від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провадження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господарської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діяльності</w:t>
      </w:r>
      <w:proofErr w:type="spellEnd"/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у</w:t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сфері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додержання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законодавства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про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зайнятість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населення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зайнятість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та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працевлаштування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осіб</w:t>
      </w:r>
      <w:proofErr w:type="spellEnd"/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</w:t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інвалідністю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їх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показники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та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кількість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балів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за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кожним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показником</w:t>
      </w:r>
      <w:proofErr w:type="spellEnd"/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2768"/>
        <w:gridCol w:w="5322"/>
        <w:gridCol w:w="1038"/>
      </w:tblGrid>
      <w:tr w:rsidR="002B2283">
        <w:trPr>
          <w:trHeight w:val="45"/>
          <w:tblCellSpacing w:w="0" w:type="auto"/>
        </w:trPr>
        <w:tc>
          <w:tcPr>
            <w:tcW w:w="290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jc w:val="center"/>
              <w:rPr>
                <w:lang w:val="ru-RU"/>
              </w:rPr>
            </w:pPr>
            <w:bookmarkStart w:id="3" w:name="257"/>
            <w:bookmarkEnd w:id="2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Крит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ерії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якими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оцінюється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ступінь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ризику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від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визначається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періодичність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планових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4" w:name="258"/>
            <w:bookmarkEnd w:id="3"/>
            <w:proofErr w:type="spellStart"/>
            <w:r>
              <w:rPr>
                <w:rFonts w:ascii="Arial"/>
                <w:color w:val="000000"/>
                <w:sz w:val="15"/>
              </w:rPr>
              <w:t>Показники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критеріїв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5" w:name="259"/>
            <w:bookmarkEnd w:id="4"/>
            <w:proofErr w:type="spellStart"/>
            <w:r>
              <w:rPr>
                <w:rFonts w:ascii="Arial"/>
                <w:color w:val="000000"/>
                <w:sz w:val="15"/>
              </w:rPr>
              <w:t>Кількість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балів</w:t>
            </w:r>
            <w:proofErr w:type="spellEnd"/>
          </w:p>
        </w:tc>
        <w:bookmarkEnd w:id="5"/>
      </w:tr>
      <w:tr w:rsidR="002B2283">
        <w:trPr>
          <w:trHeight w:val="45"/>
          <w:tblCellSpacing w:w="0" w:type="auto"/>
        </w:trPr>
        <w:tc>
          <w:tcPr>
            <w:tcW w:w="290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6" w:name="260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1.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закон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одавства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>*</w:t>
            </w:r>
          </w:p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7" w:name="261"/>
            <w:bookmarkEnd w:id="6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наявність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виявлених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порушень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призвело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скасування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дозволу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застосування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іноземців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громадянства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двох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8" w:name="262"/>
            <w:bookmarkEnd w:id="7"/>
            <w:r>
              <w:rPr>
                <w:rFonts w:ascii="Arial"/>
                <w:color w:val="000000"/>
                <w:sz w:val="15"/>
              </w:rPr>
              <w:t>20</w:t>
            </w:r>
          </w:p>
        </w:tc>
        <w:bookmarkEnd w:id="8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9" w:name="263"/>
            <w:proofErr w:type="spellStart"/>
            <w:r>
              <w:rPr>
                <w:rFonts w:ascii="Arial"/>
                <w:color w:val="000000"/>
                <w:sz w:val="15"/>
              </w:rPr>
              <w:t>порушення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законодавства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час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процедури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отримання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дозволу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іноземців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громадянства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стосовно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прийнято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оформлення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документів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питання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статусу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біженця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виявлене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10" w:name="264"/>
            <w:bookmarkEnd w:id="9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10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rFonts w:ascii="Arial"/>
                <w:color w:val="000000"/>
                <w:sz w:val="15"/>
                <w:lang w:val="ru-RU"/>
              </w:rPr>
            </w:pPr>
            <w:bookmarkStart w:id="11" w:name="265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невиплата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заробітної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плати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іноземцям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особам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громадянства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працюють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них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>ідставі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отриманого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дозволу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розмірі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встановленому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статтею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42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1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Закону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"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>"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12" w:name="266"/>
            <w:bookmarkEnd w:id="11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12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rFonts w:ascii="Arial"/>
                <w:color w:val="000000"/>
                <w:sz w:val="15"/>
                <w:lang w:val="ru-RU"/>
              </w:rPr>
            </w:pPr>
            <w:bookmarkStart w:id="13" w:name="267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встановленого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порядку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працевлаштованих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ним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двох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14" w:name="268"/>
            <w:bookmarkEnd w:id="13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14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rFonts w:ascii="Arial"/>
                <w:color w:val="000000"/>
                <w:sz w:val="15"/>
                <w:lang w:val="ru-RU"/>
              </w:rPr>
            </w:pPr>
            <w:bookmarkStart w:id="15" w:name="269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повторне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(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встановленого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порядку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працевлаштованих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ним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двох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16" w:name="270"/>
            <w:bookmarkEnd w:id="15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16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rFonts w:ascii="Arial"/>
                <w:color w:val="000000"/>
                <w:sz w:val="15"/>
                <w:lang w:val="ru-RU"/>
              </w:rPr>
            </w:pPr>
            <w:bookmarkStart w:id="17" w:name="271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несвоєчасне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повному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обсязі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ро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заплановане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масове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вивільнення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працівників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передбаченої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абзацом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третім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пункту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4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частини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третьої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статті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50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Закону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"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>"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18" w:name="272"/>
            <w:bookmarkEnd w:id="17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18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rFonts w:ascii="Arial"/>
                <w:color w:val="000000"/>
                <w:sz w:val="15"/>
                <w:lang w:val="ru-RU"/>
              </w:rPr>
            </w:pPr>
            <w:bookmarkStart w:id="19" w:name="273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відмова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громадян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зазначених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частині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першій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статті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14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Закону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"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>"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>ід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невиконання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квоти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розмірі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встановленому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законодавством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для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їх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20" w:name="274"/>
            <w:bookmarkEnd w:id="19"/>
            <w:r>
              <w:rPr>
                <w:rFonts w:ascii="Arial"/>
                <w:color w:val="000000"/>
                <w:sz w:val="15"/>
              </w:rPr>
              <w:t>3</w:t>
            </w:r>
          </w:p>
        </w:tc>
        <w:bookmarkEnd w:id="20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21" w:name="275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щодо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реклами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вакансії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прийом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на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роботу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трьох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22" w:name="276"/>
            <w:bookmarkEnd w:id="21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22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23" w:name="277"/>
            <w:r w:rsidRPr="00585EF3">
              <w:rPr>
                <w:rFonts w:ascii="Arial"/>
                <w:color w:val="000000"/>
                <w:sz w:val="15"/>
                <w:lang w:val="ru-RU"/>
              </w:rPr>
              <w:t>допуск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івника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роботи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оформлення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трудового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договору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контракту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/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оформлення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працівника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неповний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робочий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разі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фактичного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роботи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повний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робочий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установлений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>ідприємстві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/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виплата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заробітної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плати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винагороди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нараху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сплати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єдиного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внеску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загальнообов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язкове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державне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соціальне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страхування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податків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24" w:name="278"/>
            <w:bookmarkEnd w:id="23"/>
            <w:r>
              <w:rPr>
                <w:rFonts w:ascii="Arial"/>
                <w:color w:val="000000"/>
                <w:sz w:val="15"/>
              </w:rPr>
              <w:t>39</w:t>
            </w:r>
          </w:p>
        </w:tc>
        <w:bookmarkEnd w:id="24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25" w:name="279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надання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послуг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посередництва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отримання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відповідної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ліцензії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виявлене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26" w:name="280"/>
            <w:bookmarkEnd w:id="25"/>
            <w:r>
              <w:rPr>
                <w:rFonts w:ascii="Arial"/>
                <w:color w:val="000000"/>
                <w:sz w:val="15"/>
              </w:rPr>
              <w:t>21</w:t>
            </w:r>
          </w:p>
        </w:tc>
        <w:bookmarkEnd w:id="26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27" w:name="281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порушень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28" w:name="282"/>
            <w:bookmarkEnd w:id="27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28"/>
      </w:tr>
      <w:tr w:rsidR="002B2283">
        <w:trPr>
          <w:trHeight w:val="45"/>
          <w:tblCellSpacing w:w="0" w:type="auto"/>
        </w:trPr>
        <w:tc>
          <w:tcPr>
            <w:tcW w:w="290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29" w:name="283"/>
            <w:r>
              <w:rPr>
                <w:rFonts w:ascii="Arial"/>
                <w:color w:val="000000"/>
                <w:sz w:val="15"/>
              </w:rPr>
              <w:lastRenderedPageBreak/>
              <w:t xml:space="preserve">2.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іноземців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громадянства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стосовно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прийнято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оформлення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документів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питання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статусу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біженця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двох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30" w:name="284"/>
            <w:bookmarkEnd w:id="29"/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застосовував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іноземців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громадянства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стосовно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прийнято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</w:t>
            </w:r>
            <w:r>
              <w:rPr>
                <w:rFonts w:ascii="Arial"/>
                <w:color w:val="000000"/>
                <w:sz w:val="15"/>
              </w:rPr>
              <w:t>формлення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документів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питання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статусу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біженця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31" w:name="285"/>
            <w:bookmarkEnd w:id="30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31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32" w:name="286"/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застосовував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іноземців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громадянства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стосовно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прийнято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оформлення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документів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вирішення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питання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статусу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біженця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33" w:name="287"/>
            <w:bookmarkEnd w:id="32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33"/>
      </w:tr>
      <w:tr w:rsidR="002B2283">
        <w:trPr>
          <w:trHeight w:val="45"/>
          <w:tblCellSpacing w:w="0" w:type="auto"/>
        </w:trPr>
        <w:tc>
          <w:tcPr>
            <w:tcW w:w="290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34" w:name="288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3.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>*</w:t>
            </w:r>
          </w:p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Pr="00585EF3" w:rsidRDefault="00585EF3">
            <w:pPr>
              <w:spacing w:after="0"/>
              <w:rPr>
                <w:lang w:val="ru-RU"/>
              </w:rPr>
            </w:pPr>
            <w:bookmarkStart w:id="35" w:name="289"/>
            <w:bookmarkEnd w:id="34"/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несвоєчасна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реєстрація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неправомірна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відмова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від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реєстрації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Фонді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585EF3">
              <w:rPr>
                <w:rFonts w:ascii="Arial"/>
                <w:color w:val="000000"/>
                <w:sz w:val="15"/>
                <w:lang w:val="ru-RU"/>
              </w:rPr>
              <w:t>соц</w:t>
            </w:r>
            <w:proofErr w:type="gramEnd"/>
            <w:r w:rsidRPr="00585EF3">
              <w:rPr>
                <w:rFonts w:ascii="Arial"/>
                <w:color w:val="000000"/>
                <w:sz w:val="15"/>
                <w:lang w:val="ru-RU"/>
              </w:rPr>
              <w:t>іального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захисту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інвалідів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виявлена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585EF3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585EF3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36" w:name="290"/>
            <w:bookmarkEnd w:id="35"/>
            <w:r>
              <w:rPr>
                <w:rFonts w:ascii="Arial"/>
                <w:color w:val="000000"/>
                <w:sz w:val="15"/>
              </w:rPr>
              <w:t>5</w:t>
            </w:r>
          </w:p>
        </w:tc>
        <w:bookmarkEnd w:id="36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37" w:name="291"/>
            <w:proofErr w:type="spellStart"/>
            <w:r>
              <w:rPr>
                <w:rFonts w:ascii="Arial"/>
                <w:color w:val="000000"/>
                <w:sz w:val="15"/>
              </w:rPr>
              <w:t>неподання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звіту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зайнятість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виявлене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38" w:name="292"/>
            <w:bookmarkEnd w:id="37"/>
            <w:r>
              <w:rPr>
                <w:rFonts w:ascii="Arial"/>
                <w:color w:val="000000"/>
                <w:sz w:val="15"/>
              </w:rPr>
              <w:t>21</w:t>
            </w:r>
          </w:p>
        </w:tc>
        <w:bookmarkEnd w:id="38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39" w:name="293"/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працює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8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25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одного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40" w:name="294"/>
            <w:bookmarkEnd w:id="39"/>
            <w:r>
              <w:rPr>
                <w:rFonts w:ascii="Arial"/>
                <w:color w:val="000000"/>
                <w:sz w:val="15"/>
              </w:rPr>
              <w:t>12</w:t>
            </w:r>
          </w:p>
        </w:tc>
        <w:bookmarkEnd w:id="40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41" w:name="295"/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працює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8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25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двох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більше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42" w:name="296"/>
            <w:bookmarkEnd w:id="41"/>
            <w:r>
              <w:rPr>
                <w:rFonts w:ascii="Arial"/>
                <w:color w:val="000000"/>
                <w:sz w:val="15"/>
              </w:rPr>
              <w:t>15</w:t>
            </w:r>
          </w:p>
        </w:tc>
        <w:bookmarkEnd w:id="42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43" w:name="297"/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працює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більше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25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одного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44" w:name="298"/>
            <w:bookmarkEnd w:id="43"/>
            <w:r>
              <w:rPr>
                <w:rFonts w:ascii="Arial"/>
                <w:color w:val="000000"/>
                <w:sz w:val="15"/>
              </w:rPr>
              <w:t>20</w:t>
            </w:r>
          </w:p>
        </w:tc>
        <w:bookmarkEnd w:id="44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45" w:name="299"/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працює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більше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25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двох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більше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46" w:name="300"/>
            <w:bookmarkEnd w:id="45"/>
            <w:r>
              <w:rPr>
                <w:rFonts w:ascii="Arial"/>
                <w:color w:val="000000"/>
                <w:sz w:val="15"/>
              </w:rPr>
              <w:t>38</w:t>
            </w:r>
          </w:p>
        </w:tc>
        <w:bookmarkEnd w:id="46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47" w:name="301"/>
            <w:proofErr w:type="spellStart"/>
            <w:r>
              <w:rPr>
                <w:rFonts w:ascii="Arial"/>
                <w:color w:val="000000"/>
                <w:sz w:val="15"/>
              </w:rPr>
              <w:t>подання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звіту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зайнятість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недостовірними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даними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>/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помилками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призвело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несплати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адміністративно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господарських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санкцій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сплати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їх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повному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обсязі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виявлене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48" w:name="302"/>
            <w:bookmarkEnd w:id="47"/>
            <w:r>
              <w:rPr>
                <w:rFonts w:ascii="Arial"/>
                <w:color w:val="000000"/>
                <w:sz w:val="15"/>
              </w:rPr>
              <w:t>5</w:t>
            </w:r>
          </w:p>
        </w:tc>
        <w:bookmarkEnd w:id="48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49" w:name="303"/>
            <w:proofErr w:type="spellStart"/>
            <w:r>
              <w:rPr>
                <w:rFonts w:ascii="Arial"/>
                <w:color w:val="000000"/>
                <w:sz w:val="15"/>
              </w:rPr>
              <w:t>ненарахування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несплата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адміністративно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госпо</w:t>
            </w:r>
            <w:r>
              <w:rPr>
                <w:rFonts w:ascii="Arial"/>
                <w:color w:val="000000"/>
                <w:sz w:val="15"/>
              </w:rPr>
              <w:t>дарських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санкцій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крім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фінансуються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рахунок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місцевого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бюджетів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виявлені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</w:t>
            </w:r>
            <w:r>
              <w:rPr>
                <w:rFonts w:ascii="Arial"/>
                <w:color w:val="000000"/>
                <w:sz w:val="15"/>
              </w:rPr>
              <w:t>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50" w:name="304"/>
            <w:bookmarkEnd w:id="49"/>
            <w:r>
              <w:rPr>
                <w:rFonts w:ascii="Arial"/>
                <w:color w:val="000000"/>
                <w:sz w:val="15"/>
              </w:rPr>
              <w:t>10</w:t>
            </w:r>
          </w:p>
        </w:tc>
        <w:bookmarkEnd w:id="50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51" w:name="305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порушень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52" w:name="306"/>
            <w:bookmarkEnd w:id="51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52"/>
      </w:tr>
      <w:tr w:rsidR="002B2283">
        <w:trPr>
          <w:trHeight w:val="45"/>
          <w:tblCellSpacing w:w="0" w:type="auto"/>
        </w:trPr>
        <w:tc>
          <w:tcPr>
            <w:tcW w:w="290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53" w:name="307"/>
            <w:r>
              <w:rPr>
                <w:rFonts w:ascii="Arial"/>
                <w:color w:val="000000"/>
                <w:sz w:val="15"/>
              </w:rPr>
              <w:t xml:space="preserve">4. </w:t>
            </w:r>
            <w:proofErr w:type="spellStart"/>
            <w:r>
              <w:rPr>
                <w:rFonts w:ascii="Arial"/>
                <w:color w:val="000000"/>
                <w:sz w:val="15"/>
              </w:rPr>
              <w:t>Одержання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допомоги</w:t>
            </w:r>
            <w:proofErr w:type="spellEnd"/>
            <w:r>
              <w:br/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вигляді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пільг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оподаткування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поворотної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безповоротної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фінансової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допомоги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цільової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позики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дотації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рахунок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адміністративно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господарських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санкцій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пені</w:t>
            </w:r>
            <w:proofErr w:type="spellEnd"/>
            <w:r>
              <w:rPr>
                <w:rFonts w:ascii="Arial"/>
                <w:color w:val="000000"/>
                <w:sz w:val="15"/>
              </w:rPr>
              <w:t>,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надходять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бюджету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</w:p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54" w:name="308"/>
            <w:bookmarkEnd w:id="53"/>
            <w:proofErr w:type="spellStart"/>
            <w:r>
              <w:rPr>
                <w:rFonts w:ascii="Arial"/>
                <w:color w:val="000000"/>
                <w:sz w:val="15"/>
              </w:rPr>
              <w:t>одержання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допомоги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вигляді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пільг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оподаткування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поворотної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безповоротної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фінансової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допомоги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цільової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позики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дотації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рахунок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адміністративно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господарських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санкцій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надходять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бюджету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55" w:name="309"/>
            <w:bookmarkEnd w:id="54"/>
            <w:r>
              <w:rPr>
                <w:rFonts w:ascii="Arial"/>
                <w:color w:val="000000"/>
                <w:sz w:val="15"/>
              </w:rPr>
              <w:t>18</w:t>
            </w:r>
          </w:p>
        </w:tc>
        <w:bookmarkEnd w:id="55"/>
      </w:tr>
      <w:tr w:rsidR="002B2283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2B2283"/>
        </w:tc>
        <w:tc>
          <w:tcPr>
            <w:tcW w:w="571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</w:pPr>
            <w:bookmarkStart w:id="56" w:name="310"/>
            <w:proofErr w:type="spellStart"/>
            <w:r>
              <w:rPr>
                <w:rFonts w:ascii="Arial"/>
                <w:color w:val="000000"/>
                <w:sz w:val="15"/>
              </w:rPr>
              <w:t>неодержання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допомоги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вигляді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пільг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оподаткування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поворотної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безповоротної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фінансової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допомоги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цільової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позики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дотації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рахунок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адміністративно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господарських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санкцій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надходять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бюджету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робочих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місць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для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працевлаштування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осіб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інвалідністю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2B2283" w:rsidRDefault="00585EF3">
            <w:pPr>
              <w:spacing w:after="0"/>
              <w:jc w:val="center"/>
            </w:pPr>
            <w:bookmarkStart w:id="57" w:name="311"/>
            <w:bookmarkEnd w:id="56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57"/>
      </w:tr>
    </w:tbl>
    <w:p w:rsidR="002B2283" w:rsidRDefault="00585EF3">
      <w:r>
        <w:br/>
      </w:r>
    </w:p>
    <w:p w:rsidR="002B2283" w:rsidRPr="00585EF3" w:rsidRDefault="00585EF3">
      <w:pPr>
        <w:spacing w:after="0"/>
        <w:ind w:firstLine="240"/>
        <w:rPr>
          <w:lang w:val="ru-RU"/>
        </w:rPr>
      </w:pPr>
      <w:bookmarkStart w:id="58" w:name="312"/>
      <w:r w:rsidRPr="00585EF3">
        <w:rPr>
          <w:rFonts w:ascii="Arial"/>
          <w:color w:val="000000"/>
          <w:sz w:val="18"/>
          <w:lang w:val="ru-RU"/>
        </w:rPr>
        <w:t>____________</w:t>
      </w:r>
      <w:r w:rsidRPr="00585EF3">
        <w:rPr>
          <w:lang w:val="ru-RU"/>
        </w:rPr>
        <w:br/>
      </w:r>
      <w:r w:rsidRPr="00585EF3">
        <w:rPr>
          <w:rFonts w:ascii="Arial"/>
          <w:color w:val="000000"/>
          <w:sz w:val="18"/>
          <w:lang w:val="ru-RU"/>
        </w:rPr>
        <w:t xml:space="preserve">* </w:t>
      </w:r>
      <w:proofErr w:type="gramStart"/>
      <w:r w:rsidRPr="00585EF3">
        <w:rPr>
          <w:rFonts w:ascii="Arial"/>
          <w:color w:val="000000"/>
          <w:sz w:val="15"/>
          <w:lang w:val="ru-RU"/>
        </w:rPr>
        <w:t>У</w:t>
      </w:r>
      <w:proofErr w:type="gram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разі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r w:rsidRPr="00585EF3">
        <w:rPr>
          <w:rFonts w:ascii="Arial"/>
          <w:color w:val="000000"/>
          <w:sz w:val="15"/>
          <w:lang w:val="ru-RU"/>
        </w:rPr>
        <w:t>коли</w:t>
      </w:r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суб</w:t>
      </w:r>
      <w:r w:rsidRPr="00585EF3">
        <w:rPr>
          <w:rFonts w:ascii="Arial"/>
          <w:color w:val="000000"/>
          <w:sz w:val="15"/>
          <w:lang w:val="ru-RU"/>
        </w:rPr>
        <w:t>'</w:t>
      </w:r>
      <w:r w:rsidRPr="00585EF3">
        <w:rPr>
          <w:rFonts w:ascii="Arial"/>
          <w:color w:val="000000"/>
          <w:sz w:val="15"/>
          <w:lang w:val="ru-RU"/>
        </w:rPr>
        <w:t>єкта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господарювання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може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r w:rsidRPr="00585EF3">
        <w:rPr>
          <w:rFonts w:ascii="Arial"/>
          <w:color w:val="000000"/>
          <w:sz w:val="15"/>
          <w:lang w:val="ru-RU"/>
        </w:rPr>
        <w:t>бути</w:t>
      </w:r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одночасно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віднесено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r w:rsidRPr="00585EF3">
        <w:rPr>
          <w:rFonts w:ascii="Arial"/>
          <w:color w:val="000000"/>
          <w:sz w:val="15"/>
          <w:lang w:val="ru-RU"/>
        </w:rPr>
        <w:t>до</w:t>
      </w:r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двох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або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більше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показників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критерію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, </w:t>
      </w:r>
      <w:proofErr w:type="spellStart"/>
      <w:r w:rsidRPr="00585EF3">
        <w:rPr>
          <w:rFonts w:ascii="Arial"/>
          <w:color w:val="000000"/>
          <w:sz w:val="15"/>
          <w:lang w:val="ru-RU"/>
        </w:rPr>
        <w:t>застосовується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показник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з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найбільшою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кількістю</w:t>
      </w:r>
      <w:proofErr w:type="spellEnd"/>
      <w:r w:rsidRPr="00585EF3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585EF3">
        <w:rPr>
          <w:rFonts w:ascii="Arial"/>
          <w:color w:val="000000"/>
          <w:sz w:val="15"/>
          <w:lang w:val="ru-RU"/>
        </w:rPr>
        <w:t>балів</w:t>
      </w:r>
      <w:proofErr w:type="spellEnd"/>
      <w:r w:rsidRPr="00585EF3">
        <w:rPr>
          <w:rFonts w:ascii="Arial"/>
          <w:color w:val="000000"/>
          <w:sz w:val="15"/>
          <w:lang w:val="ru-RU"/>
        </w:rPr>
        <w:t>.</w:t>
      </w:r>
    </w:p>
    <w:p w:rsidR="002B2283" w:rsidRPr="00585EF3" w:rsidRDefault="002B2283">
      <w:pPr>
        <w:spacing w:after="0"/>
        <w:ind w:firstLine="240"/>
        <w:rPr>
          <w:lang w:val="ru-RU"/>
        </w:rPr>
      </w:pPr>
      <w:bookmarkStart w:id="59" w:name="313"/>
      <w:bookmarkEnd w:id="58"/>
      <w:bookmarkEnd w:id="59"/>
    </w:p>
    <w:sectPr w:rsidR="002B2283" w:rsidRPr="00585EF3" w:rsidSect="002B22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B2283"/>
    <w:rsid w:val="002B2283"/>
    <w:rsid w:val="0058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22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B22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2B2283"/>
  </w:style>
  <w:style w:type="paragraph" w:styleId="ae">
    <w:name w:val="Balloon Text"/>
    <w:basedOn w:val="a"/>
    <w:link w:val="af"/>
    <w:uiPriority w:val="99"/>
    <w:semiHidden/>
    <w:unhideWhenUsed/>
    <w:rsid w:val="00585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5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6212</Characters>
  <Application>Microsoft Office Word</Application>
  <DocSecurity>0</DocSecurity>
  <Lines>51</Lines>
  <Paragraphs>14</Paragraphs>
  <ScaleCrop>false</ScaleCrop>
  <Company>Krokoz™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Serge</cp:lastModifiedBy>
  <cp:revision>2</cp:revision>
  <dcterms:created xsi:type="dcterms:W3CDTF">2019-03-24T14:52:00Z</dcterms:created>
  <dcterms:modified xsi:type="dcterms:W3CDTF">2019-03-24T14:53:00Z</dcterms:modified>
</cp:coreProperties>
</file>