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53" w:rsidRPr="000202B1" w:rsidRDefault="009A4C53">
      <w:pPr>
        <w:spacing w:after="0"/>
        <w:ind w:firstLine="240"/>
        <w:rPr>
          <w:lang w:val="ru-RU"/>
        </w:rPr>
      </w:pPr>
      <w:bookmarkStart w:id="0" w:name="313"/>
    </w:p>
    <w:p w:rsidR="009A4C53" w:rsidRPr="000202B1" w:rsidRDefault="000202B1">
      <w:pPr>
        <w:spacing w:after="0"/>
        <w:ind w:firstLine="240"/>
        <w:jc w:val="right"/>
        <w:rPr>
          <w:lang w:val="ru-RU"/>
        </w:rPr>
      </w:pPr>
      <w:bookmarkStart w:id="1" w:name="314"/>
      <w:bookmarkEnd w:id="0"/>
      <w:r w:rsidRPr="000202B1">
        <w:rPr>
          <w:rFonts w:ascii="Arial"/>
          <w:color w:val="000000"/>
          <w:sz w:val="18"/>
          <w:lang w:val="ru-RU"/>
        </w:rPr>
        <w:t>Додаток</w:t>
      </w:r>
      <w:r w:rsidRPr="000202B1">
        <w:rPr>
          <w:rFonts w:ascii="Arial"/>
          <w:color w:val="000000"/>
          <w:sz w:val="18"/>
          <w:lang w:val="ru-RU"/>
        </w:rPr>
        <w:t xml:space="preserve"> 6</w:t>
      </w:r>
      <w:r w:rsidRPr="000202B1">
        <w:rPr>
          <w:lang w:val="ru-RU"/>
        </w:rPr>
        <w:br/>
      </w:r>
      <w:r w:rsidRPr="000202B1">
        <w:rPr>
          <w:rFonts w:ascii="Arial"/>
          <w:color w:val="000000"/>
          <w:sz w:val="18"/>
          <w:lang w:val="ru-RU"/>
        </w:rPr>
        <w:t>до</w:t>
      </w:r>
      <w:r w:rsidRPr="000202B1">
        <w:rPr>
          <w:rFonts w:ascii="Arial"/>
          <w:color w:val="000000"/>
          <w:sz w:val="18"/>
          <w:lang w:val="ru-RU"/>
        </w:rPr>
        <w:t xml:space="preserve"> </w:t>
      </w:r>
      <w:r w:rsidRPr="000202B1">
        <w:rPr>
          <w:rFonts w:ascii="Arial"/>
          <w:color w:val="000000"/>
          <w:sz w:val="18"/>
          <w:lang w:val="ru-RU"/>
        </w:rPr>
        <w:t>критеріїв</w:t>
      </w:r>
    </w:p>
    <w:p w:rsidR="009A4C53" w:rsidRPr="000202B1" w:rsidRDefault="000202B1">
      <w:pPr>
        <w:pStyle w:val="3"/>
        <w:spacing w:after="0"/>
        <w:jc w:val="center"/>
        <w:rPr>
          <w:lang w:val="ru-RU"/>
        </w:rPr>
      </w:pPr>
      <w:bookmarkStart w:id="2" w:name="315"/>
      <w:bookmarkEnd w:id="1"/>
      <w:r w:rsidRPr="000202B1">
        <w:rPr>
          <w:rFonts w:ascii="Arial"/>
          <w:color w:val="000000"/>
          <w:sz w:val="27"/>
          <w:lang w:val="ru-RU"/>
        </w:rPr>
        <w:t>ПЕРЕЛІК</w:t>
      </w:r>
      <w:r w:rsidRPr="000202B1">
        <w:rPr>
          <w:lang w:val="ru-RU"/>
        </w:rPr>
        <w:br/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критеріїв</w:t>
      </w:r>
      <w:r w:rsidRPr="000202B1">
        <w:rPr>
          <w:rFonts w:ascii="Arial"/>
          <w:color w:val="000000"/>
          <w:sz w:val="27"/>
          <w:lang w:val="ru-RU"/>
        </w:rPr>
        <w:t xml:space="preserve">, </w:t>
      </w:r>
      <w:r w:rsidRPr="000202B1">
        <w:rPr>
          <w:rFonts w:ascii="Arial"/>
          <w:color w:val="000000"/>
          <w:sz w:val="27"/>
          <w:lang w:val="ru-RU"/>
        </w:rPr>
        <w:t>за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якими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оцінюється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ступінь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ризику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від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провадження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господарської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діяльності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у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сфері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здійснення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proofErr w:type="gramStart"/>
      <w:r w:rsidRPr="000202B1">
        <w:rPr>
          <w:rFonts w:ascii="Arial"/>
          <w:color w:val="000000"/>
          <w:sz w:val="27"/>
          <w:lang w:val="ru-RU"/>
        </w:rPr>
        <w:t>державного</w:t>
      </w:r>
      <w:proofErr w:type="gramEnd"/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гірничого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нагляду</w:t>
      </w:r>
      <w:r w:rsidRPr="000202B1">
        <w:rPr>
          <w:rFonts w:ascii="Arial"/>
          <w:color w:val="000000"/>
          <w:sz w:val="27"/>
          <w:lang w:val="ru-RU"/>
        </w:rPr>
        <w:t xml:space="preserve">, </w:t>
      </w:r>
      <w:r w:rsidRPr="000202B1">
        <w:rPr>
          <w:rFonts w:ascii="Arial"/>
          <w:color w:val="000000"/>
          <w:sz w:val="27"/>
          <w:lang w:val="ru-RU"/>
        </w:rPr>
        <w:t>ї</w:t>
      </w:r>
      <w:r w:rsidRPr="000202B1">
        <w:rPr>
          <w:rFonts w:ascii="Arial"/>
          <w:color w:val="000000"/>
          <w:sz w:val="27"/>
          <w:lang w:val="ru-RU"/>
        </w:rPr>
        <w:t>х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показники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та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кількість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балів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за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кожним</w:t>
      </w:r>
      <w:r w:rsidRPr="000202B1">
        <w:rPr>
          <w:rFonts w:ascii="Arial"/>
          <w:color w:val="000000"/>
          <w:sz w:val="27"/>
          <w:lang w:val="ru-RU"/>
        </w:rPr>
        <w:t xml:space="preserve"> </w:t>
      </w:r>
      <w:r w:rsidRPr="000202B1">
        <w:rPr>
          <w:rFonts w:ascii="Arial"/>
          <w:color w:val="000000"/>
          <w:sz w:val="27"/>
          <w:lang w:val="ru-RU"/>
        </w:rPr>
        <w:t>показником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2839"/>
        <w:gridCol w:w="5163"/>
        <w:gridCol w:w="1126"/>
      </w:tblGrid>
      <w:tr w:rsidR="009A4C53">
        <w:trPr>
          <w:trHeight w:val="45"/>
          <w:tblCellSpacing w:w="0" w:type="auto"/>
        </w:trPr>
        <w:tc>
          <w:tcPr>
            <w:tcW w:w="300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jc w:val="center"/>
              <w:rPr>
                <w:lang w:val="ru-RU"/>
              </w:rPr>
            </w:pPr>
            <w:bookmarkStart w:id="3" w:name="316"/>
            <w:bookmarkEnd w:id="2"/>
            <w:r w:rsidRPr="000202B1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якими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оцінюється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ступінь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ризику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від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визначається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періодичність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планових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4" w:name="317"/>
            <w:bookmarkEnd w:id="3"/>
            <w:r>
              <w:rPr>
                <w:rFonts w:ascii="Arial"/>
                <w:color w:val="000000"/>
                <w:sz w:val="15"/>
              </w:rPr>
              <w:t>Показники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критеріїв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5" w:name="318"/>
            <w:bookmarkEnd w:id="4"/>
            <w:r>
              <w:rPr>
                <w:rFonts w:ascii="Arial"/>
                <w:color w:val="000000"/>
                <w:sz w:val="15"/>
              </w:rPr>
              <w:t>Кількість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балів</w:t>
            </w:r>
          </w:p>
        </w:tc>
        <w:bookmarkEnd w:id="5"/>
      </w:tr>
      <w:tr w:rsidR="009A4C53">
        <w:trPr>
          <w:trHeight w:val="45"/>
          <w:tblCellSpacing w:w="0" w:type="auto"/>
        </w:trPr>
        <w:tc>
          <w:tcPr>
            <w:tcW w:w="300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6" w:name="319"/>
            <w:r>
              <w:rPr>
                <w:rFonts w:ascii="Arial"/>
                <w:color w:val="000000"/>
                <w:sz w:val="15"/>
              </w:rPr>
              <w:t xml:space="preserve">1. </w:t>
            </w:r>
            <w:r>
              <w:rPr>
                <w:rFonts w:ascii="Arial"/>
                <w:color w:val="000000"/>
                <w:sz w:val="15"/>
              </w:rPr>
              <w:t>Порушення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законодавства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правил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норм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щодо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ведення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геологічним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вивченням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надр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їх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використанням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охороною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також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використанням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переробкою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мінеральної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сировини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виявлених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протягом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останніх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років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передують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плановому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періоду</w:t>
            </w:r>
            <w:r>
              <w:rPr>
                <w:rFonts w:ascii="Arial"/>
                <w:color w:val="000000"/>
                <w:sz w:val="15"/>
              </w:rPr>
              <w:t>*</w:t>
            </w:r>
          </w:p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7" w:name="320"/>
            <w:bookmarkEnd w:id="6"/>
            <w:r w:rsidRPr="000202B1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спеціального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дозволу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користування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надрами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частині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гірничого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нагляду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8" w:name="321"/>
            <w:bookmarkEnd w:id="7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8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9" w:name="322"/>
            <w:r>
              <w:rPr>
                <w:rFonts w:ascii="Arial"/>
                <w:color w:val="000000"/>
                <w:sz w:val="15"/>
              </w:rPr>
              <w:t>відсутність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нагляду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типових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проектів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вибухових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проектів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спорудження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складів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вибухових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матеріалів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призначення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проектів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захисту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розташованих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гірничому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відводі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шкідливого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впливу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підробки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гірничими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роботами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проведення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відповідає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зазначеним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проектам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10" w:name="323"/>
            <w:bookmarkEnd w:id="9"/>
            <w:r>
              <w:rPr>
                <w:rFonts w:ascii="Arial"/>
                <w:color w:val="000000"/>
                <w:sz w:val="15"/>
              </w:rPr>
              <w:t>6</w:t>
            </w:r>
          </w:p>
        </w:tc>
        <w:bookmarkEnd w:id="10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11" w:name="324"/>
            <w:r w:rsidRPr="000202B1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затвердження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погодження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установленому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проектів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досл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ідно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промислової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розробки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проектів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розробки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родовищ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12" w:name="325"/>
            <w:bookmarkEnd w:id="11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12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13" w:name="326"/>
            <w:r w:rsidRPr="000202B1">
              <w:rPr>
                <w:rFonts w:ascii="Arial"/>
                <w:color w:val="000000"/>
                <w:sz w:val="15"/>
                <w:lang w:val="ru-RU"/>
              </w:rPr>
              <w:t>недодержання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нормативно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правових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проектних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р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ішень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дослідно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омислової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промислової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розробки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родовищ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14" w:name="327"/>
            <w:bookmarkEnd w:id="13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14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15" w:name="328"/>
            <w:r w:rsidRPr="000202B1">
              <w:rPr>
                <w:rFonts w:ascii="Arial"/>
                <w:color w:val="000000"/>
                <w:sz w:val="15"/>
                <w:lang w:val="ru-RU"/>
              </w:rPr>
              <w:t>недодержання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нормативно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правових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проектних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р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ішень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користування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надрами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будівництва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експлуатації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підземних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споруд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інших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цілей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пов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язаних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видобуванням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16" w:name="329"/>
            <w:bookmarkEnd w:id="15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16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17" w:name="330"/>
            <w:r>
              <w:rPr>
                <w:rFonts w:ascii="Arial"/>
                <w:color w:val="000000"/>
                <w:sz w:val="15"/>
              </w:rPr>
              <w:t>відсутність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акта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відводу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метою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родовищ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копалин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користування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надрами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для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будівництва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експлуатації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підземних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споруд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інших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цілей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не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язаних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видобуванням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копалин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18" w:name="331"/>
            <w:bookmarkEnd w:id="17"/>
            <w:r>
              <w:rPr>
                <w:rFonts w:ascii="Arial"/>
                <w:color w:val="000000"/>
                <w:sz w:val="15"/>
              </w:rPr>
              <w:t>8</w:t>
            </w:r>
          </w:p>
        </w:tc>
        <w:bookmarkEnd w:id="18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19" w:name="332"/>
            <w:r w:rsidRPr="000202B1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обл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іку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стану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руху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запасів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втрат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списання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запасів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відповідно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нормативних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документів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20" w:name="333"/>
            <w:bookmarkEnd w:id="19"/>
            <w:r>
              <w:rPr>
                <w:rFonts w:ascii="Arial"/>
                <w:color w:val="000000"/>
                <w:sz w:val="15"/>
              </w:rPr>
              <w:t>6</w:t>
            </w:r>
          </w:p>
        </w:tc>
        <w:bookmarkEnd w:id="20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21" w:name="334"/>
            <w:r>
              <w:rPr>
                <w:rFonts w:ascii="Arial"/>
                <w:color w:val="000000"/>
                <w:sz w:val="15"/>
              </w:rPr>
              <w:t>відсутність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нагляду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щорічних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планів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розвитку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підприємст</w:t>
            </w:r>
            <w:r>
              <w:rPr>
                <w:rFonts w:ascii="Arial"/>
                <w:color w:val="000000"/>
                <w:sz w:val="15"/>
              </w:rPr>
              <w:t>вах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вугільної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рудної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нерудної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їх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22" w:name="335"/>
            <w:bookmarkEnd w:id="21"/>
            <w:r>
              <w:rPr>
                <w:rFonts w:ascii="Arial"/>
                <w:color w:val="000000"/>
                <w:sz w:val="15"/>
              </w:rPr>
              <w:t>5</w:t>
            </w:r>
          </w:p>
        </w:tc>
        <w:bookmarkEnd w:id="22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23" w:name="336"/>
            <w:r>
              <w:rPr>
                <w:rFonts w:ascii="Arial"/>
                <w:color w:val="000000"/>
                <w:sz w:val="15"/>
              </w:rPr>
              <w:t>відсутність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органами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державного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нагляду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щорічних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планів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підприємствах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нафтогазовидобувної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промисловості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також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гідромінера</w:t>
            </w:r>
            <w:r>
              <w:rPr>
                <w:rFonts w:ascii="Arial"/>
                <w:color w:val="000000"/>
                <w:sz w:val="15"/>
              </w:rPr>
              <w:t>льних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ресурсів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або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їх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погодження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24" w:name="337"/>
            <w:bookmarkEnd w:id="23"/>
            <w:r>
              <w:rPr>
                <w:rFonts w:ascii="Arial"/>
                <w:color w:val="000000"/>
                <w:sz w:val="15"/>
              </w:rPr>
              <w:t>5</w:t>
            </w:r>
          </w:p>
        </w:tc>
        <w:bookmarkEnd w:id="24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25" w:name="338"/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щодо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проведення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геологічних</w:t>
            </w:r>
            <w:r>
              <w:rPr>
                <w:rFonts w:ascii="Arial"/>
                <w:color w:val="000000"/>
                <w:sz w:val="15"/>
              </w:rPr>
              <w:t xml:space="preserve"> (</w:t>
            </w:r>
            <w:r>
              <w:rPr>
                <w:rFonts w:ascii="Arial"/>
                <w:color w:val="000000"/>
                <w:sz w:val="15"/>
              </w:rPr>
              <w:t>гідрогеологічних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маркшейдерських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дослідно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промислової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розробки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експлуатації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родовищ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копалин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ведення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геолого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маркшейдерської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технічної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документації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26" w:name="339"/>
            <w:bookmarkEnd w:id="25"/>
            <w:r>
              <w:rPr>
                <w:rFonts w:ascii="Arial"/>
                <w:color w:val="000000"/>
                <w:sz w:val="15"/>
              </w:rPr>
              <w:t>4</w:t>
            </w:r>
          </w:p>
        </w:tc>
        <w:bookmarkEnd w:id="26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27" w:name="340"/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правил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технологій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під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переробки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мінеральної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сировини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метою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забезпечення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більш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повного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вилучення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корисних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компонентів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поліпшення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якості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кінцевої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продукції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28" w:name="341"/>
            <w:bookmarkEnd w:id="27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28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29" w:name="342"/>
            <w:r w:rsidRPr="000202B1">
              <w:rPr>
                <w:rFonts w:ascii="Arial"/>
                <w:color w:val="000000"/>
                <w:sz w:val="15"/>
                <w:lang w:val="ru-RU"/>
              </w:rPr>
              <w:t>недотримання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нормативно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правових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проектних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р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ішень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щодо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використання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надр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межах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наданої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користування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ділянки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надр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зокрема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частині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гірничого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нагляду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30" w:name="343"/>
            <w:bookmarkEnd w:id="29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30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31" w:name="344"/>
            <w:r w:rsidRPr="000202B1">
              <w:rPr>
                <w:rFonts w:ascii="Arial"/>
                <w:color w:val="000000"/>
                <w:sz w:val="15"/>
                <w:lang w:val="ru-RU"/>
              </w:rPr>
              <w:t>недотримання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встановленого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забудови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площ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залягання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зага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льнодержавного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значення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також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ведення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будівництва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ділянках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їх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залягання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споруд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пов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язаних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видобуванням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корисних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копалин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32" w:name="345"/>
            <w:bookmarkEnd w:id="31"/>
            <w:r>
              <w:rPr>
                <w:rFonts w:ascii="Arial"/>
                <w:color w:val="000000"/>
                <w:sz w:val="15"/>
              </w:rPr>
              <w:t>6</w:t>
            </w:r>
          </w:p>
        </w:tc>
        <w:bookmarkEnd w:id="32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33" w:name="346"/>
            <w:r w:rsidRPr="000202B1">
              <w:rPr>
                <w:rFonts w:ascii="Arial"/>
                <w:color w:val="000000"/>
                <w:sz w:val="15"/>
                <w:lang w:val="ru-RU"/>
              </w:rPr>
              <w:t>невиконання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будівель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споруд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природних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об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єктів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в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ід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шкідливого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впливу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гірничих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робіт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34" w:name="347"/>
            <w:bookmarkEnd w:id="33"/>
            <w:r>
              <w:rPr>
                <w:rFonts w:ascii="Arial"/>
                <w:color w:val="000000"/>
                <w:sz w:val="15"/>
              </w:rPr>
              <w:t>8</w:t>
            </w:r>
          </w:p>
        </w:tc>
        <w:bookmarkEnd w:id="34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35" w:name="348"/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встановленого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порядку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ведення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робіт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ліквідації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lastRenderedPageBreak/>
              <w:t>(</w:t>
            </w:r>
            <w:r>
              <w:rPr>
                <w:rFonts w:ascii="Arial"/>
                <w:color w:val="000000"/>
                <w:sz w:val="15"/>
              </w:rPr>
              <w:t>консервації</w:t>
            </w:r>
            <w:r>
              <w:rPr>
                <w:rFonts w:ascii="Arial"/>
                <w:color w:val="000000"/>
                <w:sz w:val="15"/>
              </w:rPr>
              <w:t xml:space="preserve">) </w:t>
            </w:r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надрокористування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невиконання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проектних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рішень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щодо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забезпечення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охорони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безпеки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людей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майна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споруд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та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навколишнього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середовища</w:t>
            </w:r>
            <w:r>
              <w:rPr>
                <w:rFonts w:ascii="Arial"/>
                <w:color w:val="000000"/>
                <w:sz w:val="15"/>
              </w:rPr>
              <w:t xml:space="preserve">; </w:t>
            </w:r>
            <w:r>
              <w:rPr>
                <w:rFonts w:ascii="Arial"/>
                <w:color w:val="000000"/>
                <w:sz w:val="15"/>
              </w:rPr>
              <w:t>недотримання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вимог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що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забезпечують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збер</w:t>
            </w:r>
            <w:r>
              <w:rPr>
                <w:rFonts w:ascii="Arial"/>
                <w:color w:val="000000"/>
                <w:sz w:val="15"/>
              </w:rPr>
              <w:t>еження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гірничих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виробок</w:t>
            </w:r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свердловин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на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час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консервації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36" w:name="349"/>
            <w:bookmarkEnd w:id="35"/>
            <w:r>
              <w:rPr>
                <w:rFonts w:ascii="Arial"/>
                <w:color w:val="000000"/>
                <w:sz w:val="15"/>
              </w:rPr>
              <w:lastRenderedPageBreak/>
              <w:t>8</w:t>
            </w:r>
          </w:p>
        </w:tc>
        <w:bookmarkEnd w:id="36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Pr="000202B1" w:rsidRDefault="000202B1">
            <w:pPr>
              <w:spacing w:after="0"/>
              <w:rPr>
                <w:lang w:val="ru-RU"/>
              </w:rPr>
            </w:pPr>
            <w:bookmarkStart w:id="37" w:name="350"/>
            <w:r w:rsidRPr="000202B1">
              <w:rPr>
                <w:rFonts w:ascii="Arial"/>
                <w:color w:val="000000"/>
                <w:sz w:val="15"/>
                <w:lang w:val="ru-RU"/>
              </w:rPr>
              <w:t>недотримання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нормативно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правових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щодо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місць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зберігання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вибухових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0202B1">
              <w:rPr>
                <w:rFonts w:ascii="Arial"/>
                <w:color w:val="000000"/>
                <w:sz w:val="15"/>
                <w:lang w:val="ru-RU"/>
              </w:rPr>
              <w:t>матер</w:t>
            </w:r>
            <w:proofErr w:type="gramEnd"/>
            <w:r w:rsidRPr="000202B1">
              <w:rPr>
                <w:rFonts w:ascii="Arial"/>
                <w:color w:val="000000"/>
                <w:sz w:val="15"/>
                <w:lang w:val="ru-RU"/>
              </w:rPr>
              <w:t>іалів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промислового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призначення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буро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вибухових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0202B1">
              <w:rPr>
                <w:rFonts w:ascii="Arial"/>
                <w:color w:val="000000"/>
                <w:sz w:val="15"/>
                <w:lang w:val="ru-RU"/>
              </w:rPr>
              <w:t>робіт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38" w:name="351"/>
            <w:bookmarkEnd w:id="37"/>
            <w:r>
              <w:rPr>
                <w:rFonts w:ascii="Arial"/>
                <w:color w:val="000000"/>
                <w:sz w:val="15"/>
              </w:rPr>
              <w:t>8</w:t>
            </w:r>
          </w:p>
        </w:tc>
        <w:bookmarkEnd w:id="38"/>
      </w:tr>
      <w:tr w:rsidR="009A4C5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9A4C53"/>
        </w:tc>
        <w:tc>
          <w:tcPr>
            <w:tcW w:w="552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</w:pPr>
            <w:bookmarkStart w:id="39" w:name="352"/>
            <w:r>
              <w:rPr>
                <w:rFonts w:ascii="Arial"/>
                <w:color w:val="000000"/>
                <w:sz w:val="15"/>
              </w:rPr>
              <w:t>відсутність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порушень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9A4C53" w:rsidRDefault="000202B1">
            <w:pPr>
              <w:spacing w:after="0"/>
              <w:jc w:val="center"/>
            </w:pPr>
            <w:bookmarkStart w:id="40" w:name="353"/>
            <w:bookmarkEnd w:id="39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40"/>
      </w:tr>
    </w:tbl>
    <w:p w:rsidR="009A4C53" w:rsidRDefault="000202B1">
      <w:r>
        <w:br/>
      </w:r>
    </w:p>
    <w:p w:rsidR="009A4C53" w:rsidRPr="000202B1" w:rsidRDefault="000202B1">
      <w:pPr>
        <w:spacing w:after="0"/>
        <w:ind w:firstLine="240"/>
        <w:rPr>
          <w:lang w:val="ru-RU"/>
        </w:rPr>
      </w:pPr>
      <w:bookmarkStart w:id="41" w:name="354"/>
      <w:r w:rsidRPr="000202B1">
        <w:rPr>
          <w:rFonts w:ascii="Arial"/>
          <w:color w:val="000000"/>
          <w:sz w:val="18"/>
          <w:lang w:val="ru-RU"/>
        </w:rPr>
        <w:t>____________</w:t>
      </w:r>
      <w:r w:rsidRPr="000202B1">
        <w:rPr>
          <w:lang w:val="ru-RU"/>
        </w:rPr>
        <w:br/>
      </w:r>
      <w:r w:rsidRPr="000202B1">
        <w:rPr>
          <w:rFonts w:ascii="Arial"/>
          <w:color w:val="000000"/>
          <w:sz w:val="18"/>
          <w:lang w:val="ru-RU"/>
        </w:rPr>
        <w:t xml:space="preserve">* </w:t>
      </w:r>
      <w:r w:rsidRPr="000202B1">
        <w:rPr>
          <w:rFonts w:ascii="Arial"/>
          <w:color w:val="000000"/>
          <w:sz w:val="15"/>
          <w:lang w:val="ru-RU"/>
        </w:rPr>
        <w:t>У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разі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коли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суб</w:t>
      </w:r>
      <w:r w:rsidRPr="000202B1">
        <w:rPr>
          <w:rFonts w:ascii="Arial"/>
          <w:color w:val="000000"/>
          <w:sz w:val="15"/>
          <w:lang w:val="ru-RU"/>
        </w:rPr>
        <w:t>'</w:t>
      </w:r>
      <w:r w:rsidRPr="000202B1">
        <w:rPr>
          <w:rFonts w:ascii="Arial"/>
          <w:color w:val="000000"/>
          <w:sz w:val="15"/>
          <w:lang w:val="ru-RU"/>
        </w:rPr>
        <w:t>єкта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господарювання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може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бути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одночасно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віднесено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до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двох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або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більше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показників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критерію</w:t>
      </w:r>
      <w:r w:rsidRPr="000202B1">
        <w:rPr>
          <w:rFonts w:ascii="Arial"/>
          <w:color w:val="000000"/>
          <w:sz w:val="15"/>
          <w:lang w:val="ru-RU"/>
        </w:rPr>
        <w:t xml:space="preserve">, </w:t>
      </w:r>
      <w:r w:rsidRPr="000202B1">
        <w:rPr>
          <w:rFonts w:ascii="Arial"/>
          <w:color w:val="000000"/>
          <w:sz w:val="15"/>
          <w:lang w:val="ru-RU"/>
        </w:rPr>
        <w:t>бали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нараховуються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за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кожним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показником</w:t>
      </w:r>
      <w:r w:rsidRPr="000202B1">
        <w:rPr>
          <w:rFonts w:ascii="Arial"/>
          <w:color w:val="000000"/>
          <w:sz w:val="15"/>
          <w:lang w:val="ru-RU"/>
        </w:rPr>
        <w:t xml:space="preserve">, </w:t>
      </w:r>
      <w:r w:rsidRPr="000202B1">
        <w:rPr>
          <w:rFonts w:ascii="Arial"/>
          <w:color w:val="000000"/>
          <w:sz w:val="15"/>
          <w:lang w:val="ru-RU"/>
        </w:rPr>
        <w:t>а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їх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r w:rsidRPr="000202B1">
        <w:rPr>
          <w:rFonts w:ascii="Arial"/>
          <w:color w:val="000000"/>
          <w:sz w:val="15"/>
          <w:lang w:val="ru-RU"/>
        </w:rPr>
        <w:t>кількість</w:t>
      </w:r>
      <w:r w:rsidRPr="000202B1">
        <w:rPr>
          <w:rFonts w:ascii="Arial"/>
          <w:color w:val="000000"/>
          <w:sz w:val="15"/>
          <w:lang w:val="ru-RU"/>
        </w:rPr>
        <w:t xml:space="preserve"> </w:t>
      </w:r>
      <w:proofErr w:type="gramStart"/>
      <w:r w:rsidRPr="000202B1">
        <w:rPr>
          <w:rFonts w:ascii="Arial"/>
          <w:color w:val="000000"/>
          <w:sz w:val="15"/>
          <w:lang w:val="ru-RU"/>
        </w:rPr>
        <w:t>п</w:t>
      </w:r>
      <w:proofErr w:type="gramEnd"/>
      <w:r w:rsidRPr="000202B1">
        <w:rPr>
          <w:rFonts w:ascii="Arial"/>
          <w:color w:val="000000"/>
          <w:sz w:val="15"/>
          <w:lang w:val="ru-RU"/>
        </w:rPr>
        <w:t>ідсумовується</w:t>
      </w:r>
      <w:r w:rsidRPr="000202B1">
        <w:rPr>
          <w:rFonts w:ascii="Arial"/>
          <w:color w:val="000000"/>
          <w:sz w:val="15"/>
          <w:lang w:val="ru-RU"/>
        </w:rPr>
        <w:t>.</w:t>
      </w:r>
    </w:p>
    <w:p w:rsidR="009A4C53" w:rsidRPr="000202B1" w:rsidRDefault="009A4C53">
      <w:pPr>
        <w:spacing w:after="0"/>
        <w:ind w:firstLine="240"/>
        <w:rPr>
          <w:lang w:val="ru-RU"/>
        </w:rPr>
      </w:pPr>
      <w:bookmarkStart w:id="42" w:name="355"/>
      <w:bookmarkEnd w:id="41"/>
      <w:bookmarkEnd w:id="42"/>
    </w:p>
    <w:sectPr w:rsidR="009A4C53" w:rsidRPr="000202B1" w:rsidSect="009A4C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9A4C53"/>
    <w:rsid w:val="000202B1"/>
    <w:rsid w:val="009A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C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4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9A4C53"/>
  </w:style>
  <w:style w:type="paragraph" w:styleId="ae">
    <w:name w:val="Balloon Text"/>
    <w:basedOn w:val="a"/>
    <w:link w:val="af"/>
    <w:uiPriority w:val="99"/>
    <w:semiHidden/>
    <w:unhideWhenUsed/>
    <w:rsid w:val="0002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3529</Characters>
  <Application>Microsoft Office Word</Application>
  <DocSecurity>0</DocSecurity>
  <Lines>29</Lines>
  <Paragraphs>8</Paragraphs>
  <ScaleCrop>false</ScaleCrop>
  <Company>Krokoz™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2019-03-24T14:53:00Z</dcterms:created>
  <dcterms:modified xsi:type="dcterms:W3CDTF">2019-03-24T14:54:00Z</dcterms:modified>
</cp:coreProperties>
</file>