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ind w:left="0" w:right="0" w:hanging="0"/>
        <w:jc w:val="center"/>
        <w:textAlignment w:val="auto"/>
        <w:rPr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>
      <w:pPr>
        <w:pStyle w:val="2"/>
        <w:keepNext/>
        <w:widowControl/>
        <w:numPr>
          <w:ilvl w:val="0"/>
          <w:numId w:val="0"/>
        </w:numPr>
        <w:bidi w:val="0"/>
        <w:spacing w:before="0" w:after="0"/>
        <w:ind w:left="0" w:right="0" w:hanging="0"/>
        <w:jc w:val="center"/>
        <w:textAlignment w:val="auto"/>
        <w:outlineLvl w:val="1"/>
        <w:rPr>
          <w:b w:val="false"/>
          <w:b w:val="false"/>
          <w:lang w:val="uk-UA"/>
        </w:rPr>
      </w:pPr>
      <w:r>
        <w:rPr>
          <w:rFonts w:ascii="Times New Roman" w:hAnsi="Times New Roman"/>
          <w:bCs w:val="false"/>
          <w:i w:val="false"/>
          <w:iCs w:val="false"/>
          <w:lang w:val="uk-UA"/>
        </w:rPr>
        <w:t>до проекту постанови Кабінету Міністрів України</w:t>
      </w:r>
      <w:r>
        <w:rPr/>
        <w:br/>
      </w:r>
      <w:r>
        <w:rPr>
          <w:rFonts w:ascii="Times New Roman" w:hAnsi="Times New Roman"/>
          <w:bCs w:val="false"/>
          <w:i w:val="false"/>
          <w:iCs w:val="false"/>
          <w:lang w:val="uk-UA"/>
        </w:rPr>
        <w:t>"Про внесення зміни до пункту 2 постанови Кабінету Міністрів України</w:t>
      </w:r>
      <w:r>
        <w:rPr/>
        <w:br/>
      </w:r>
      <w:r>
        <w:rPr>
          <w:rFonts w:ascii="Times New Roman" w:hAnsi="Times New Roman"/>
          <w:bCs w:val="false"/>
          <w:i w:val="false"/>
          <w:iCs w:val="false"/>
          <w:lang w:val="uk-UA"/>
        </w:rPr>
        <w:t xml:space="preserve">від 4 грудня 2019 р. № 1186" </w:t>
      </w:r>
      <w:r>
        <w:rPr/>
        <w:br/>
      </w:r>
      <w:r>
        <w:rPr>
          <w:rFonts w:ascii="Times New Roman" w:hAnsi="Times New Roman"/>
          <w:bCs w:val="false"/>
          <w:i w:val="false"/>
          <w:iCs w:val="false"/>
          <w:lang w:val="uk-UA"/>
        </w:rPr>
        <w:t>(далі – проект постанови)</w:t>
      </w:r>
    </w:p>
    <w:p>
      <w:pPr>
        <w:pStyle w:val="Style26"/>
        <w:widowControl/>
        <w:bidi w:val="0"/>
        <w:spacing w:before="0" w:after="0"/>
        <w:ind w:left="0" w:right="0" w:firstLine="567"/>
        <w:jc w:val="left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Rvps2"/>
        <w:widowControl/>
        <w:shd w:fill="FFFFFF"/>
        <w:bidi w:val="0"/>
        <w:spacing w:lineRule="auto" w:line="252" w:before="0" w:after="120"/>
        <w:ind w:left="0" w:right="0" w:firstLine="709"/>
        <w:jc w:val="both"/>
        <w:textAlignment w:val="auto"/>
        <w:rPr/>
      </w:pPr>
      <w:r>
        <w:rPr>
          <w:b/>
          <w:sz w:val="28"/>
          <w:szCs w:val="28"/>
          <w:lang w:eastAsia="ru-RU"/>
        </w:rPr>
        <w:t>1. Мета</w:t>
      </w:r>
    </w:p>
    <w:p>
      <w:pPr>
        <w:pStyle w:val="Rvps2"/>
        <w:widowControl/>
        <w:shd w:fill="FFFFFF"/>
        <w:bidi w:val="0"/>
        <w:spacing w:lineRule="auto" w:line="252" w:before="0" w:after="120"/>
        <w:ind w:left="0" w:right="0" w:firstLine="709"/>
        <w:jc w:val="both"/>
        <w:textAlignment w:val="auto"/>
        <w:rPr/>
      </w:pPr>
      <w:bookmarkStart w:id="0" w:name="n1977"/>
      <w:bookmarkEnd w:id="0"/>
      <w:r>
        <w:rPr>
          <w:sz w:val="28"/>
          <w:szCs w:val="28"/>
        </w:rPr>
        <w:t>Надання можливості виробникам і імпортерам обладнання, на яке поширюється дія Технічного регламенту шумового випромінювання у навколишнє середовище від обладнання, що використовується ззовні приміщень, затвердженого постановою Кабінету Міністрів України від 04.12.2019 № 1186 (далі – Технічний регламент), до 01.01.2022 вводити в обіг відповідне обладнання без проведення його оцінки відповідності вимогам Технічного регламенту.</w:t>
      </w:r>
    </w:p>
    <w:p>
      <w:pPr>
        <w:pStyle w:val="Rvps2"/>
        <w:widowControl/>
        <w:shd w:fill="FFFFFF"/>
        <w:bidi w:val="0"/>
        <w:spacing w:lineRule="auto" w:line="252" w:before="0" w:after="120"/>
        <w:ind w:left="0" w:right="0" w:firstLine="709"/>
        <w:jc w:val="both"/>
        <w:textAlignment w:val="auto"/>
        <w:rPr>
          <w:lang w:val="uk-UA"/>
        </w:rPr>
      </w:pPr>
      <w:r>
        <w:rPr>
          <w:rStyle w:val="Rvts9"/>
          <w:b/>
          <w:bCs/>
          <w:sz w:val="28"/>
          <w:szCs w:val="28"/>
          <w:lang w:val="uk-UA" w:eastAsia="uk-UA" w:bidi="ar-SA"/>
        </w:rPr>
        <w:t xml:space="preserve">2. </w:t>
      </w:r>
      <w:r>
        <w:rPr>
          <w:b/>
          <w:sz w:val="28"/>
          <w:szCs w:val="28"/>
          <w:lang w:eastAsia="ru-RU"/>
        </w:rPr>
        <w:t>Обґрунтування необхідності прийняття акта</w:t>
      </w:r>
    </w:p>
    <w:p>
      <w:pPr>
        <w:pStyle w:val="Normal"/>
        <w:widowControl/>
        <w:bidi w:val="0"/>
        <w:spacing w:lineRule="auto" w:line="252"/>
        <w:ind w:left="0" w:right="0" w:firstLine="709"/>
        <w:jc w:val="both"/>
        <w:textAlignment w:val="auto"/>
        <w:rPr>
          <w:lang w:val="uk-UA"/>
        </w:rPr>
      </w:pPr>
      <w:r>
        <w:rPr>
          <w:sz w:val="28"/>
          <w:szCs w:val="28"/>
          <w:lang w:val="uk-UA"/>
        </w:rPr>
        <w:t>Проект постанови розроблено Мінекономіки відповідно до статті 8 Закону України "Про технічні регламенти та оцінку відповідності" (далі – Закон).</w:t>
      </w:r>
    </w:p>
    <w:p>
      <w:pPr>
        <w:pStyle w:val="Normal"/>
        <w:widowControl/>
        <w:tabs>
          <w:tab w:val="left" w:pos="3570" w:leader="none"/>
        </w:tabs>
        <w:bidi w:val="0"/>
        <w:spacing w:lineRule="auto" w:line="252"/>
        <w:ind w:left="0" w:right="0" w:firstLine="709"/>
        <w:jc w:val="both"/>
        <w:textAlignment w:val="auto"/>
        <w:rPr>
          <w:lang w:val="uk-UA"/>
        </w:rPr>
      </w:pPr>
      <w:r>
        <w:rPr>
          <w:sz w:val="28"/>
          <w:szCs w:val="28"/>
          <w:lang w:val="uk-UA"/>
        </w:rPr>
        <w:t>Постановою Кабінету Міністрів України від 04.12.2019 № 1186 затверджено Технічний регламент, належна реалізація якого є однією з умов для укладення Угоди про оцінку відповідності та прийнятність промислових товарів (Угода АСАА) у перших пріоритетних секторах промислової продукції (машини, низьковольтне обладнання та електромагнітна сумісність).</w:t>
      </w:r>
    </w:p>
    <w:p>
      <w:pPr>
        <w:pStyle w:val="Normal"/>
        <w:widowControl/>
        <w:tabs>
          <w:tab w:val="left" w:pos="3570" w:leader="none"/>
        </w:tabs>
        <w:bidi w:val="0"/>
        <w:spacing w:lineRule="auto" w:line="252"/>
        <w:ind w:left="0" w:right="0" w:firstLine="709"/>
        <w:jc w:val="both"/>
        <w:textAlignment w:val="auto"/>
        <w:rPr/>
      </w:pPr>
      <w:r>
        <w:rPr>
          <w:sz w:val="28"/>
          <w:szCs w:val="28"/>
          <w:lang w:val="uk-UA"/>
        </w:rPr>
        <w:t>Технічний регламент набрав чинності 11.03.2021 та передбачає обов’язкове залучення до проведення робіт з оцінки відповідності певних видів обладнання призначеного органу з оцінки відповідності.</w:t>
      </w:r>
    </w:p>
    <w:p>
      <w:pPr>
        <w:pStyle w:val="Normal"/>
        <w:widowControl/>
        <w:tabs>
          <w:tab w:val="left" w:pos="3570" w:leader="none"/>
        </w:tabs>
        <w:bidi w:val="0"/>
        <w:spacing w:lineRule="auto" w:line="252"/>
        <w:ind w:left="0" w:right="0" w:firstLine="709"/>
        <w:jc w:val="both"/>
        <w:textAlignment w:val="auto"/>
        <w:rPr>
          <w:lang w:val="uk-UA"/>
        </w:rPr>
      </w:pPr>
      <w:r>
        <w:rPr>
          <w:i/>
          <w:lang w:val="uk-UA"/>
        </w:rPr>
        <w:t>Довідково: до таких видів обладнання належать  будівельні підіймачі для вантажів; ущільнювальні машини; компресори; ручні бетоноломи та вибійні молотки; будівельні лебідки; бульдозери; самоскиди; екскаватори; автогрейдери; гідравлічні блоки живлення; газонокосарки; автонавантажувачі; навантажувачі; самохідні крани; мотокультиватори; асфальтоукладальники; електричні генератори; баштові крани; зварювальні генератори.</w:t>
      </w:r>
    </w:p>
    <w:p>
      <w:pPr>
        <w:pStyle w:val="Normal"/>
        <w:widowControl/>
        <w:tabs>
          <w:tab w:val="left" w:pos="3570" w:leader="none"/>
        </w:tabs>
        <w:bidi w:val="0"/>
        <w:spacing w:lineRule="auto" w:line="252"/>
        <w:ind w:left="0" w:right="0" w:firstLine="709"/>
        <w:jc w:val="both"/>
        <w:textAlignment w:val="auto"/>
        <w:rPr>
          <w:lang w:val="uk-UA"/>
        </w:rPr>
      </w:pPr>
      <w:r>
        <w:rPr>
          <w:sz w:val="28"/>
          <w:szCs w:val="28"/>
          <w:lang w:val="uk-UA"/>
        </w:rPr>
        <w:t>Станом на сьогодні жоден орган з оцінки відповідності не подав до Мінекономіки заяву про призначення його органом з оцінки відповідності на виконання робіт з оцінки відповідності згідно з Технічним регламентом.</w:t>
      </w:r>
    </w:p>
    <w:p>
      <w:pPr>
        <w:pStyle w:val="Normal"/>
        <w:widowControl/>
        <w:tabs>
          <w:tab w:val="left" w:pos="3570" w:leader="none"/>
        </w:tabs>
        <w:bidi w:val="0"/>
        <w:spacing w:lineRule="auto" w:line="252"/>
        <w:ind w:left="0" w:right="0" w:firstLine="709"/>
        <w:jc w:val="both"/>
        <w:textAlignment w:val="auto"/>
        <w:rPr>
          <w:lang w:val="uk-UA"/>
        </w:rPr>
      </w:pPr>
      <w:r>
        <w:rPr>
          <w:sz w:val="28"/>
          <w:szCs w:val="28"/>
          <w:lang w:val="uk-UA"/>
        </w:rPr>
        <w:t>Зважаючи на тривалість процедури акредитації органів з оцінки відповідності (в середньому близько 6 місяців) та відсутність заявок на акредитацію за цим Технічним регламентом, а також на строк видачі свідоцтва про призначення, визначений статтею 35 Закону (не більше 80 робочих днів), як мінімум ще півроку жоден орган з оцінки відповідності не буде призначений за цим Технічним регламентом.</w:t>
      </w:r>
    </w:p>
    <w:p>
      <w:pPr>
        <w:pStyle w:val="Normal"/>
        <w:widowControl/>
        <w:tabs>
          <w:tab w:val="left" w:pos="3570" w:leader="none"/>
        </w:tabs>
        <w:bidi w:val="0"/>
        <w:spacing w:lineRule="auto" w:line="252"/>
        <w:ind w:left="0" w:right="0" w:firstLine="709"/>
        <w:jc w:val="both"/>
        <w:textAlignment w:val="auto"/>
        <w:rPr>
          <w:lang w:val="uk-UA"/>
        </w:rPr>
      </w:pPr>
      <w:r>
        <w:rPr>
          <w:sz w:val="28"/>
          <w:szCs w:val="28"/>
          <w:lang w:val="uk-UA"/>
        </w:rPr>
        <w:t>Така ситуація блокує введення в обіг на ринку України більшості видів обладнання, на яке поширюється дія Технічного регламенту, та негативно позначається на фінансовому стані українських виробників та імпортерів такого обладнання.</w:t>
      </w:r>
    </w:p>
    <w:p>
      <w:pPr>
        <w:pStyle w:val="Normal"/>
        <w:widowControl/>
        <w:tabs>
          <w:tab w:val="left" w:pos="3570" w:leader="none"/>
        </w:tabs>
        <w:bidi w:val="0"/>
        <w:spacing w:lineRule="auto" w:line="252"/>
        <w:ind w:left="0" w:right="0" w:firstLine="709"/>
        <w:jc w:val="both"/>
        <w:textAlignment w:val="auto"/>
        <w:rPr>
          <w:lang w:val="uk-UA"/>
        </w:rPr>
      </w:pPr>
      <w:r>
        <w:rPr>
          <w:sz w:val="28"/>
          <w:szCs w:val="28"/>
          <w:lang w:val="uk-UA"/>
        </w:rPr>
        <w:t>Прийняття проекту постанови покликане запобігти створенню кризової ситуації на ринку відповідного обладнання.</w:t>
      </w:r>
    </w:p>
    <w:p>
      <w:pPr>
        <w:pStyle w:val="3"/>
        <w:widowControl/>
        <w:numPr>
          <w:ilvl w:val="0"/>
          <w:numId w:val="0"/>
        </w:numPr>
        <w:bidi w:val="0"/>
        <w:spacing w:lineRule="auto" w:line="252" w:before="120" w:after="120"/>
        <w:ind w:left="0" w:right="0" w:firstLine="709"/>
        <w:jc w:val="both"/>
        <w:textAlignment w:val="auto"/>
        <w:outlineLvl w:val="2"/>
        <w:rPr>
          <w:b w:val="false"/>
          <w:b w:val="false"/>
        </w:rPr>
      </w:pPr>
      <w:r>
        <w:rPr>
          <w:bCs w:val="false"/>
          <w:sz w:val="28"/>
          <w:szCs w:val="28"/>
          <w:lang w:eastAsia="ru-RU"/>
        </w:rPr>
        <w:t>3. Основні положення проекту акта</w:t>
      </w:r>
    </w:p>
    <w:p>
      <w:pPr>
        <w:pStyle w:val="Rvps2"/>
        <w:widowControl/>
        <w:shd w:fill="FFFFFF"/>
        <w:bidi w:val="0"/>
        <w:spacing w:lineRule="auto" w:line="252" w:before="0" w:after="120"/>
        <w:ind w:left="0" w:right="0" w:firstLine="709"/>
        <w:jc w:val="both"/>
        <w:textAlignment w:val="auto"/>
        <w:rPr/>
      </w:pPr>
      <w:r>
        <w:rPr>
          <w:bCs/>
          <w:sz w:val="28"/>
          <w:szCs w:val="28"/>
        </w:rPr>
        <w:t>Проектом постанови запропоновано в</w:t>
      </w:r>
      <w:r>
        <w:rPr>
          <w:sz w:val="28"/>
          <w:szCs w:val="28"/>
        </w:rPr>
        <w:t>нести зміну до пункту 2 постанови Кабінету Міністрів України від 4 грудня 2019 р. № 1186 "Про затвердження Технічного регламенту шумового випромінювання у навколишнє середовище від обладнання, що використовується ззовні приміщень", якою буде дозволено до 01.01.2022 вводити в обіг обладнання без проведення його оцінки відповідності вимогам Технічного регламенту.</w:t>
      </w:r>
    </w:p>
    <w:p>
      <w:pPr>
        <w:pStyle w:val="Normal"/>
        <w:widowControl/>
        <w:bidi w:val="0"/>
        <w:spacing w:lineRule="auto" w:line="252" w:before="0" w:after="120"/>
        <w:ind w:left="0" w:right="0" w:firstLine="709"/>
        <w:jc w:val="both"/>
        <w:textAlignment w:val="auto"/>
        <w:rPr>
          <w:lang w:val="uk-UA"/>
        </w:rPr>
      </w:pPr>
      <w:r>
        <w:rPr>
          <w:b/>
          <w:sz w:val="28"/>
          <w:szCs w:val="28"/>
          <w:lang w:val="uk-UA"/>
        </w:rPr>
        <w:t>4. Правові аспекти</w:t>
      </w:r>
    </w:p>
    <w:p>
      <w:pPr>
        <w:pStyle w:val="Normal"/>
        <w:widowControl/>
        <w:tabs>
          <w:tab w:val="left" w:pos="720" w:leader="none"/>
          <w:tab w:val="left" w:pos="900" w:leader="none"/>
          <w:tab w:val="left" w:pos="1080" w:leader="none"/>
          <w:tab w:val="left" w:pos="1260" w:leader="none"/>
        </w:tabs>
        <w:bidi w:val="0"/>
        <w:spacing w:lineRule="auto" w:line="252"/>
        <w:ind w:left="0" w:right="0" w:firstLine="709"/>
        <w:jc w:val="both"/>
        <w:textAlignment w:val="auto"/>
        <w:rPr>
          <w:lang w:val="uk-UA"/>
        </w:rPr>
      </w:pPr>
      <w:r>
        <w:rPr>
          <w:sz w:val="28"/>
          <w:szCs w:val="28"/>
          <w:lang w:val="uk-UA"/>
        </w:rPr>
        <w:t xml:space="preserve">У даній сфері суспільних відносин діють: </w:t>
      </w:r>
    </w:p>
    <w:p>
      <w:pPr>
        <w:pStyle w:val="Normal"/>
        <w:widowControl/>
        <w:tabs>
          <w:tab w:val="left" w:pos="720" w:leader="none"/>
          <w:tab w:val="left" w:pos="900" w:leader="none"/>
          <w:tab w:val="left" w:pos="1080" w:leader="none"/>
          <w:tab w:val="left" w:pos="1260" w:leader="none"/>
        </w:tabs>
        <w:bidi w:val="0"/>
        <w:spacing w:lineRule="auto" w:line="252"/>
        <w:ind w:left="0" w:right="0" w:firstLine="709"/>
        <w:jc w:val="both"/>
        <w:textAlignment w:val="auto"/>
        <w:rPr>
          <w:lang w:val="uk-UA"/>
        </w:rPr>
      </w:pPr>
      <w:r>
        <w:rPr>
          <w:sz w:val="28"/>
          <w:szCs w:val="28"/>
          <w:lang w:val="uk-UA"/>
        </w:rPr>
        <w:t>Закон України "Про технічні регламенти та оцінку відповідності";</w:t>
      </w:r>
    </w:p>
    <w:p>
      <w:pPr>
        <w:pStyle w:val="Normal"/>
        <w:widowControl/>
        <w:tabs>
          <w:tab w:val="left" w:pos="720" w:leader="none"/>
          <w:tab w:val="left" w:pos="900" w:leader="none"/>
          <w:tab w:val="left" w:pos="1080" w:leader="none"/>
          <w:tab w:val="left" w:pos="1260" w:leader="none"/>
        </w:tabs>
        <w:bidi w:val="0"/>
        <w:spacing w:lineRule="auto" w:line="252"/>
        <w:ind w:left="0" w:right="0" w:firstLine="709"/>
        <w:jc w:val="both"/>
        <w:textAlignment w:val="auto"/>
        <w:rPr>
          <w:lang w:val="uk-UA"/>
        </w:rPr>
      </w:pPr>
      <w:r>
        <w:rPr>
          <w:sz w:val="28"/>
          <w:szCs w:val="28"/>
          <w:lang w:val="uk-UA"/>
        </w:rPr>
        <w:t>постанова Кабінету Міністрів України від 04.12.2019 № 1186 "Про затвердження Технічного регламенту шумового випромінювання у навколишнє середовище від обладнання, що використовується ззовні приміщень".</w:t>
      </w:r>
    </w:p>
    <w:p>
      <w:pPr>
        <w:pStyle w:val="Normal"/>
        <w:widowControl/>
        <w:tabs>
          <w:tab w:val="left" w:pos="1134" w:leader="none"/>
          <w:tab w:val="left" w:pos="1418" w:leader="none"/>
        </w:tabs>
        <w:bidi w:val="0"/>
        <w:spacing w:lineRule="auto" w:line="252" w:before="120" w:after="120"/>
        <w:ind w:left="0" w:right="0" w:firstLine="709"/>
        <w:jc w:val="both"/>
        <w:textAlignment w:val="auto"/>
        <w:rPr>
          <w:lang w:val="uk-UA"/>
        </w:rPr>
      </w:pPr>
      <w:r>
        <w:rPr>
          <w:b/>
          <w:sz w:val="28"/>
          <w:szCs w:val="28"/>
          <w:lang w:val="uk-UA"/>
        </w:rPr>
        <w:t xml:space="preserve">5. Фінансово-економічне обґрунтування </w:t>
      </w:r>
    </w:p>
    <w:p>
      <w:pPr>
        <w:pStyle w:val="NormalWeb"/>
        <w:widowControl/>
        <w:tabs>
          <w:tab w:val="left" w:pos="720" w:leader="none"/>
          <w:tab w:val="left" w:pos="900" w:leader="none"/>
          <w:tab w:val="left" w:pos="1080" w:leader="none"/>
          <w:tab w:val="left" w:pos="1260" w:leader="none"/>
        </w:tabs>
        <w:bidi w:val="0"/>
        <w:spacing w:lineRule="auto" w:line="252" w:before="0" w:after="120"/>
        <w:ind w:left="0" w:right="0" w:firstLine="709"/>
        <w:jc w:val="both"/>
        <w:textAlignment w:val="auto"/>
        <w:rPr>
          <w:lang w:val="uk-UA"/>
        </w:rPr>
      </w:pPr>
      <w:r>
        <w:rPr>
          <w:bCs/>
          <w:sz w:val="28"/>
          <w:szCs w:val="28"/>
          <w:shd w:fill="FFFFFF" w:val="clear"/>
          <w:lang w:val="uk-UA"/>
        </w:rPr>
        <w:t>Реалізація постанови не потребує фінансування з державного чи місцевих бюджетів.</w:t>
      </w:r>
    </w:p>
    <w:p>
      <w:pPr>
        <w:pStyle w:val="NormalWeb"/>
        <w:widowControl/>
        <w:tabs>
          <w:tab w:val="left" w:pos="720" w:leader="none"/>
          <w:tab w:val="left" w:pos="900" w:leader="none"/>
          <w:tab w:val="left" w:pos="1080" w:leader="none"/>
          <w:tab w:val="left" w:pos="1260" w:leader="none"/>
        </w:tabs>
        <w:bidi w:val="0"/>
        <w:spacing w:lineRule="auto" w:line="252" w:before="0" w:after="120"/>
        <w:ind w:left="0" w:right="0" w:firstLine="709"/>
        <w:jc w:val="both"/>
        <w:textAlignment w:val="auto"/>
        <w:rPr>
          <w:lang w:val="uk-UA"/>
        </w:rPr>
      </w:pPr>
      <w:r>
        <w:rPr>
          <w:b/>
          <w:sz w:val="28"/>
          <w:szCs w:val="28"/>
          <w:lang w:val="uk-UA"/>
        </w:rPr>
        <w:t xml:space="preserve">6. Позиція заінтересованих сторін </w:t>
      </w:r>
    </w:p>
    <w:p>
      <w:pPr>
        <w:pStyle w:val="Normal"/>
        <w:widowControl/>
        <w:bidi w:val="0"/>
        <w:spacing w:lineRule="auto" w:line="252"/>
        <w:ind w:left="0" w:right="0" w:firstLine="709"/>
        <w:jc w:val="both"/>
        <w:textAlignment w:val="auto"/>
        <w:rPr>
          <w:lang w:val="uk-UA"/>
        </w:rPr>
      </w:pPr>
      <w:r>
        <w:rPr>
          <w:bCs/>
          <w:sz w:val="28"/>
          <w:szCs w:val="28"/>
          <w:shd w:fill="FFFFFF" w:val="clear"/>
          <w:lang w:val="uk-UA"/>
        </w:rPr>
        <w:t>Проект постанови не потребує проведення консультацій з громадськістю.</w:t>
      </w:r>
    </w:p>
    <w:p>
      <w:pPr>
        <w:pStyle w:val="Normal"/>
        <w:widowControl/>
        <w:bidi w:val="0"/>
        <w:spacing w:lineRule="auto" w:line="252"/>
        <w:ind w:left="0" w:right="0" w:firstLine="709"/>
        <w:jc w:val="both"/>
        <w:textAlignment w:val="auto"/>
        <w:rPr>
          <w:lang w:val="uk-UA"/>
        </w:rPr>
      </w:pPr>
      <w:r>
        <w:rPr>
          <w:bCs/>
          <w:sz w:val="28"/>
          <w:szCs w:val="28"/>
          <w:shd w:fill="FFFFFF" w:val="clear"/>
          <w:lang w:val="uk-UA"/>
        </w:rPr>
        <w:t>Проект постанови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державної, і не потребує розгляду уповноваженими представниками всеукраїнських асоціацій органів місцевого самоврядування чи відповідних органів місцевого самоврядування, Уповноваженим Президента України з прав людей з інвалідністю, Урядовим уповноваженим з прав осіб з інвалідністю та всеукраїнських громадських організацій осіб з інвалідністю, їх спілок, Уповноваженим із захисту державної мови.</w:t>
      </w:r>
    </w:p>
    <w:p>
      <w:pPr>
        <w:pStyle w:val="Normal"/>
        <w:widowControl/>
        <w:bidi w:val="0"/>
        <w:spacing w:lineRule="auto" w:line="252"/>
        <w:ind w:left="0" w:right="0" w:firstLine="709"/>
        <w:jc w:val="both"/>
        <w:textAlignment w:val="auto"/>
        <w:rPr>
          <w:lang w:val="uk-UA"/>
        </w:rPr>
      </w:pPr>
      <w:r>
        <w:rPr>
          <w:bCs/>
          <w:sz w:val="28"/>
          <w:szCs w:val="28"/>
          <w:shd w:fill="FFFFFF" w:val="clear"/>
          <w:lang w:val="uk-UA"/>
        </w:rPr>
        <w:t>Проект постанови не стосується сфери наукової та науково-технічної діяльності і не потребує розгляду Науковим комітетом Національної ради з питань розвитку науки і технологій.</w:t>
      </w:r>
    </w:p>
    <w:p>
      <w:pPr>
        <w:pStyle w:val="Normal"/>
        <w:widowControl/>
        <w:bidi w:val="0"/>
        <w:spacing w:lineRule="auto" w:line="252" w:before="0" w:after="120"/>
        <w:ind w:left="0" w:right="0" w:firstLine="709"/>
        <w:jc w:val="both"/>
        <w:textAlignment w:val="auto"/>
        <w:rPr>
          <w:lang w:val="uk-UA"/>
        </w:rPr>
      </w:pPr>
      <w:r>
        <w:rPr>
          <w:bCs/>
          <w:sz w:val="28"/>
          <w:szCs w:val="28"/>
          <w:shd w:fill="FFFFFF" w:val="clear"/>
          <w:lang w:val="uk-UA"/>
        </w:rPr>
        <w:t>Проект постанови потребує погодження уповноваженими представниками всеукраїнських профспілок, їх об'єднань та всеукраїнських об'єднань організацій роботодавців.</w:t>
      </w:r>
    </w:p>
    <w:p>
      <w:pPr>
        <w:pStyle w:val="3"/>
        <w:widowControl/>
        <w:numPr>
          <w:ilvl w:val="0"/>
          <w:numId w:val="0"/>
        </w:numPr>
        <w:bidi w:val="0"/>
        <w:spacing w:lineRule="auto" w:line="252" w:before="0" w:after="120"/>
        <w:ind w:left="0" w:right="0" w:firstLine="709"/>
        <w:jc w:val="both"/>
        <w:textAlignment w:val="auto"/>
        <w:outlineLvl w:val="2"/>
        <w:rPr>
          <w:b w:val="false"/>
          <w:b w:val="false"/>
        </w:rPr>
      </w:pPr>
      <w:r>
        <w:rPr>
          <w:sz w:val="28"/>
          <w:szCs w:val="28"/>
        </w:rPr>
        <w:t>7. Оцінка відповідності</w:t>
      </w:r>
    </w:p>
    <w:p>
      <w:pPr>
        <w:pStyle w:val="Normal"/>
        <w:widowControl w:val="false"/>
        <w:bidi w:val="0"/>
        <w:spacing w:lineRule="auto" w:line="252"/>
        <w:ind w:left="0" w:right="0" w:firstLine="709"/>
        <w:jc w:val="both"/>
        <w:textAlignment w:val="auto"/>
        <w:rPr>
          <w:lang w:val="uk-UA"/>
        </w:rPr>
      </w:pPr>
      <w:r>
        <w:rPr>
          <w:sz w:val="28"/>
          <w:szCs w:val="28"/>
          <w:lang w:val="uk-UA"/>
        </w:rPr>
        <w:t>Проект постанови за предметом правового регулювання належить до сфери технічного регулювання, яка охоплюється положеннями статті 56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сторони, та належить до пріоритетних сфер адаптації законодавства України до законодавства Європейського Союзу.</w:t>
      </w:r>
    </w:p>
    <w:p>
      <w:pPr>
        <w:pStyle w:val="Normal"/>
        <w:widowControl w:val="false"/>
        <w:bidi w:val="0"/>
        <w:spacing w:lineRule="auto" w:line="252"/>
        <w:ind w:left="0" w:right="0" w:firstLine="709"/>
        <w:jc w:val="both"/>
        <w:textAlignment w:val="auto"/>
        <w:rPr>
          <w:lang w:val="uk-UA"/>
        </w:rPr>
      </w:pPr>
      <w:r>
        <w:rPr>
          <w:sz w:val="28"/>
          <w:szCs w:val="28"/>
          <w:lang w:val="uk-UA"/>
        </w:rPr>
        <w:t>Проект постанови не містить норм, що порушують права та свободи, гарантовані Конвенцією про захист прав людини і основоположних свобод.</w:t>
      </w:r>
    </w:p>
    <w:p>
      <w:pPr>
        <w:pStyle w:val="Normal"/>
        <w:widowControl w:val="false"/>
        <w:bidi w:val="0"/>
        <w:spacing w:lineRule="auto" w:line="252"/>
        <w:ind w:left="0" w:right="0" w:firstLine="709"/>
        <w:jc w:val="both"/>
        <w:textAlignment w:val="auto"/>
        <w:rPr>
          <w:lang w:val="uk-UA"/>
        </w:rPr>
      </w:pPr>
      <w:r>
        <w:rPr>
          <w:sz w:val="28"/>
          <w:szCs w:val="28"/>
          <w:lang w:val="uk-UA"/>
        </w:rPr>
        <w:t>У проекті постанови відсутні положення, які містять ознаки дискримінації. Проект постанови не потребує проведення громадської антидискримінаційної експертизи.</w:t>
      </w:r>
    </w:p>
    <w:p>
      <w:pPr>
        <w:pStyle w:val="Style26"/>
        <w:widowControl/>
        <w:tabs>
          <w:tab w:val="left" w:pos="9071" w:leader="none"/>
        </w:tabs>
        <w:bidi w:val="0"/>
        <w:spacing w:lineRule="auto" w:line="252" w:before="0" w:after="0"/>
        <w:ind w:left="0" w:right="0" w:firstLine="709"/>
        <w:jc w:val="both"/>
        <w:textAlignment w:val="auto"/>
        <w:rPr/>
      </w:pPr>
      <w:r>
        <w:rPr>
          <w:rFonts w:ascii="Times New Roman" w:hAnsi="Times New Roman"/>
          <w:sz w:val="28"/>
          <w:szCs w:val="28"/>
        </w:rPr>
        <w:t>У проекті постанови відсутні положення, які порушують принцип забезпечення рівних прав та можливостей жінок і чоловіків.</w:t>
      </w:r>
    </w:p>
    <w:p>
      <w:pPr>
        <w:pStyle w:val="Normal"/>
        <w:widowControl w:val="false"/>
        <w:bidi w:val="0"/>
        <w:spacing w:lineRule="auto" w:line="252"/>
        <w:ind w:left="0" w:right="0" w:firstLine="709"/>
        <w:jc w:val="both"/>
        <w:textAlignment w:val="auto"/>
        <w:rPr>
          <w:lang w:val="uk-UA"/>
        </w:rPr>
      </w:pPr>
      <w:r>
        <w:rPr>
          <w:sz w:val="28"/>
          <w:szCs w:val="28"/>
          <w:lang w:val="uk-UA"/>
        </w:rPr>
        <w:t xml:space="preserve">У проекті постанови відсутні правила і процедури, які можуть містити ризики вчинення корупційних правопорушень та правопорушень, пов’язаних з корупцією. Громадська антикорупційна експертиза не проводилася. </w:t>
      </w:r>
    </w:p>
    <w:p>
      <w:pPr>
        <w:pStyle w:val="Normal"/>
        <w:widowControl/>
        <w:bidi w:val="0"/>
        <w:spacing w:lineRule="auto" w:line="252" w:before="120" w:after="120"/>
        <w:ind w:left="0" w:right="0" w:firstLine="709"/>
        <w:jc w:val="both"/>
        <w:textAlignment w:val="auto"/>
        <w:rPr>
          <w:lang w:val="uk-UA"/>
        </w:rPr>
      </w:pPr>
      <w:r>
        <w:rPr>
          <w:b/>
          <w:sz w:val="28"/>
          <w:szCs w:val="28"/>
          <w:lang w:val="uk-UA"/>
        </w:rPr>
        <w:t>8. Прогноз результатів</w:t>
      </w:r>
    </w:p>
    <w:p>
      <w:pPr>
        <w:pStyle w:val="Rvps2"/>
        <w:widowControl/>
        <w:shd w:fill="FFFFFF"/>
        <w:bidi w:val="0"/>
        <w:spacing w:lineRule="auto" w:line="252" w:before="0" w:after="0"/>
        <w:ind w:left="0" w:right="0" w:firstLine="709"/>
        <w:jc w:val="both"/>
        <w:textAlignment w:val="auto"/>
        <w:rPr/>
      </w:pPr>
      <w:r>
        <w:rPr>
          <w:sz w:val="28"/>
          <w:szCs w:val="28"/>
        </w:rPr>
        <w:t>Прийняття постанови</w:t>
      </w:r>
      <w:r>
        <w:rPr>
          <w:sz w:val="28"/>
          <w:szCs w:val="28"/>
          <w:lang w:val="ru-RU"/>
        </w:rPr>
        <w:t>:</w:t>
      </w:r>
    </w:p>
    <w:p>
      <w:pPr>
        <w:pStyle w:val="Rvps2"/>
        <w:widowControl/>
        <w:shd w:fill="FFFFFF"/>
        <w:bidi w:val="0"/>
        <w:spacing w:lineRule="auto" w:line="252" w:before="0" w:after="0"/>
        <w:ind w:left="0" w:right="0" w:firstLine="709"/>
        <w:jc w:val="both"/>
        <w:textAlignment w:val="auto"/>
        <w:rPr/>
      </w:pPr>
      <w:r>
        <w:rPr>
          <w:sz w:val="28"/>
          <w:szCs w:val="28"/>
        </w:rPr>
        <w:t>надасть можливість виробникам і імпортерам до 01.01.2022 вводити в обіг обладнання без проведення його оцінки відповідності вимогам Технічного регламенту</w:t>
      </w:r>
      <w:r>
        <w:rPr>
          <w:sz w:val="28"/>
          <w:szCs w:val="28"/>
          <w:lang w:val="ru-RU"/>
        </w:rPr>
        <w:t>;</w:t>
      </w:r>
    </w:p>
    <w:p>
      <w:pPr>
        <w:pStyle w:val="Rvps2"/>
        <w:widowControl/>
        <w:shd w:fill="FFFFFF"/>
        <w:bidi w:val="0"/>
        <w:spacing w:lineRule="auto" w:line="252" w:before="0" w:after="0"/>
        <w:ind w:left="0" w:right="0" w:firstLine="709"/>
        <w:jc w:val="both"/>
        <w:textAlignment w:val="auto"/>
        <w:rPr/>
      </w:pPr>
      <w:r>
        <w:rPr>
          <w:sz w:val="28"/>
          <w:szCs w:val="28"/>
        </w:rPr>
        <w:t>надасть можливість створити  інфраструктуру призначених органів з оцінки відповідності для виконання вимог Технічного регламенту шляхом їх акредитації та призначення.</w:t>
      </w:r>
    </w:p>
    <w:p>
      <w:pPr>
        <w:pStyle w:val="Normal"/>
        <w:widowControl/>
        <w:bidi w:val="0"/>
        <w:spacing w:lineRule="auto" w:line="252"/>
        <w:ind w:left="0" w:right="0" w:firstLine="708"/>
        <w:jc w:val="both"/>
        <w:textAlignment w:val="auto"/>
        <w:rPr>
          <w:lang w:val="uk-UA"/>
        </w:rPr>
      </w:pPr>
      <w:r>
        <w:rPr>
          <w:sz w:val="28"/>
          <w:szCs w:val="28"/>
          <w:lang w:val="uk-UA"/>
        </w:rPr>
        <w:t>Критеріями ефективності реалізації акта є:</w:t>
      </w:r>
    </w:p>
    <w:p>
      <w:pPr>
        <w:pStyle w:val="Rvps2"/>
        <w:widowControl/>
        <w:shd w:fill="FFFFFF"/>
        <w:bidi w:val="0"/>
        <w:spacing w:lineRule="auto" w:line="252" w:before="0" w:after="0"/>
        <w:ind w:left="0" w:right="0" w:firstLine="709"/>
        <w:jc w:val="both"/>
        <w:textAlignment w:val="auto"/>
        <w:rPr/>
      </w:pPr>
      <w:r>
        <w:rPr>
          <w:sz w:val="28"/>
          <w:szCs w:val="28"/>
        </w:rPr>
        <w:t>кількість поданих заявок органами з оцінки відповідності на акредитацію Національному агентству з акредитації України;</w:t>
      </w:r>
    </w:p>
    <w:p>
      <w:pPr>
        <w:pStyle w:val="Rvps2"/>
        <w:widowControl/>
        <w:shd w:fill="FFFFFF"/>
        <w:bidi w:val="0"/>
        <w:spacing w:lineRule="auto" w:line="252" w:before="0" w:after="0"/>
        <w:ind w:left="0" w:right="0" w:firstLine="709"/>
        <w:jc w:val="both"/>
        <w:textAlignment w:val="auto"/>
        <w:rPr/>
      </w:pPr>
      <w:r>
        <w:rPr>
          <w:sz w:val="28"/>
          <w:szCs w:val="28"/>
        </w:rPr>
        <w:t>кількість поданих заяв про призначення органів з оцінки відповідності на виконання робіт  з оцінки відповідності згідно з Технічним регламентом;</w:t>
      </w:r>
    </w:p>
    <w:p>
      <w:pPr>
        <w:pStyle w:val="Rvps2"/>
        <w:widowControl/>
        <w:shd w:fill="FFFFFF"/>
        <w:bidi w:val="0"/>
        <w:spacing w:lineRule="auto" w:line="252" w:before="0" w:after="0"/>
        <w:ind w:left="0" w:right="0" w:firstLine="709"/>
        <w:jc w:val="both"/>
        <w:textAlignment w:val="auto"/>
        <w:rPr/>
      </w:pPr>
      <w:r>
        <w:rPr>
          <w:sz w:val="28"/>
          <w:szCs w:val="28"/>
        </w:rPr>
        <w:t>кількість призначених органів з оцінки відповідності для виконання робіт згідно з Технічним регламентом.</w:t>
      </w:r>
    </w:p>
    <w:p>
      <w:pPr>
        <w:pStyle w:val="Rvps2"/>
        <w:widowControl/>
        <w:shd w:fill="FFFFFF"/>
        <w:bidi w:val="0"/>
        <w:spacing w:lineRule="auto" w:line="252" w:before="0" w:after="0"/>
        <w:ind w:left="0" w:right="0" w:firstLine="709"/>
        <w:jc w:val="both"/>
        <w:textAlignment w:val="auto"/>
        <w:rPr/>
      </w:pPr>
      <w:r>
        <w:rPr>
          <w:sz w:val="28"/>
          <w:szCs w:val="28"/>
        </w:rPr>
        <w:t>Можливі ризики та шляхи їх мінімізації:</w:t>
      </w:r>
    </w:p>
    <w:p>
      <w:pPr>
        <w:pStyle w:val="Rvps2"/>
        <w:widowControl/>
        <w:shd w:fill="FFFFFF"/>
        <w:bidi w:val="0"/>
        <w:spacing w:lineRule="auto" w:line="252" w:before="0" w:after="0"/>
        <w:ind w:left="0" w:right="0" w:firstLine="709"/>
        <w:jc w:val="both"/>
        <w:textAlignment w:val="auto"/>
        <w:rPr/>
      </w:pPr>
      <w:r>
        <w:rPr>
          <w:sz w:val="28"/>
          <w:szCs w:val="28"/>
        </w:rPr>
        <w:t>не призначення жодного органу з оцінки відповідності для виконання робіт згідно з Технічним регламентом;</w:t>
      </w:r>
    </w:p>
    <w:p>
      <w:pPr>
        <w:pStyle w:val="Rvps2"/>
        <w:widowControl/>
        <w:shd w:fill="FFFFFF"/>
        <w:bidi w:val="0"/>
        <w:spacing w:lineRule="auto" w:line="252" w:before="0" w:after="0"/>
        <w:ind w:left="0" w:right="0" w:firstLine="709"/>
        <w:jc w:val="both"/>
        <w:textAlignment w:val="auto"/>
        <w:rPr/>
      </w:pPr>
      <w:r>
        <w:rPr>
          <w:sz w:val="28"/>
          <w:szCs w:val="28"/>
        </w:rPr>
        <w:t>неможливість проведення оцінки відповідності певного обладнання  згідно з Технічним регламентом через відсутність призначених органів.</w:t>
      </w:r>
    </w:p>
    <w:p>
      <w:pPr>
        <w:pStyle w:val="Normal"/>
        <w:widowControl/>
        <w:bidi w:val="0"/>
        <w:spacing w:lineRule="auto" w:line="252" w:before="0" w:after="120"/>
        <w:ind w:left="0" w:right="0" w:firstLine="708"/>
        <w:jc w:val="both"/>
        <w:textAlignment w:val="auto"/>
        <w:rPr>
          <w:lang w:val="uk-UA"/>
        </w:rPr>
      </w:pPr>
      <w:r>
        <w:rPr>
          <w:sz w:val="28"/>
          <w:szCs w:val="28"/>
          <w:lang w:val="uk-UA"/>
        </w:rPr>
        <w:t xml:space="preserve">Оцінка впливу на сферу інтересів держави: впровадження вимог акта не потребує додаткових витрат з бюджету, оскільки здійснюватиметься в межах повноважень відповідних органів та чинного законодавства. </w:t>
      </w:r>
    </w:p>
    <w:p>
      <w:pPr>
        <w:pStyle w:val="Normal"/>
        <w:widowControl/>
        <w:tabs>
          <w:tab w:val="left" w:pos="3570" w:leader="none"/>
        </w:tabs>
        <w:bidi w:val="0"/>
        <w:spacing w:lineRule="auto" w:line="252" w:before="0" w:after="120"/>
        <w:ind w:left="0" w:right="0" w:firstLine="709"/>
        <w:jc w:val="both"/>
        <w:textAlignment w:val="auto"/>
        <w:rPr>
          <w:lang w:val="uk-UA"/>
        </w:rPr>
      </w:pPr>
      <w:r>
        <w:rPr>
          <w:sz w:val="28"/>
          <w:szCs w:val="28"/>
          <w:lang w:val="uk-UA"/>
        </w:rPr>
        <w:t>Вплив реалізації акта на інтереси заінтересованих сторін:</w:t>
      </w:r>
    </w:p>
    <w:tbl>
      <w:tblPr>
        <w:tblW w:w="9828" w:type="dxa"/>
        <w:jc w:val="left"/>
        <w:tblInd w:w="-1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987"/>
        <w:gridCol w:w="3241"/>
        <w:gridCol w:w="3600"/>
      </w:tblGrid>
      <w:tr>
        <w:trPr/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center"/>
              <w:textAlignment w:val="auto"/>
              <w:rPr>
                <w:lang w:val="uk-UA"/>
              </w:rPr>
            </w:pPr>
            <w:bookmarkStart w:id="1" w:name="n3513"/>
            <w:bookmarkEnd w:id="1"/>
            <w:r>
              <w:rPr>
                <w:b/>
                <w:lang w:val="uk-UA"/>
              </w:rPr>
              <w:t>Заінтересована сторона</w:t>
            </w:r>
          </w:p>
        </w:tc>
        <w:tc>
          <w:tcPr>
            <w:tcW w:w="3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center"/>
              <w:textAlignment w:val="auto"/>
              <w:rPr>
                <w:lang w:val="uk-UA"/>
              </w:rPr>
            </w:pPr>
            <w:r>
              <w:rPr>
                <w:b/>
                <w:lang w:val="uk-UA"/>
              </w:rPr>
              <w:t>Вплив реалізації акта на заінтересовану сторону</w:t>
            </w:r>
          </w:p>
        </w:tc>
        <w:tc>
          <w:tcPr>
            <w:tcW w:w="3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center"/>
              <w:textAlignment w:val="auto"/>
              <w:rPr>
                <w:lang w:val="uk-UA"/>
              </w:rPr>
            </w:pPr>
            <w:r>
              <w:rPr>
                <w:b/>
                <w:lang w:val="uk-UA"/>
              </w:rPr>
              <w:t>Пояснення очікуваного впливу</w:t>
            </w:r>
          </w:p>
        </w:tc>
      </w:tr>
      <w:tr>
        <w:trPr/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left"/>
              <w:textAlignment w:val="auto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виробники і імпортери відповідного обладнання </w:t>
            </w:r>
          </w:p>
        </w:tc>
        <w:tc>
          <w:tcPr>
            <w:tcW w:w="3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center"/>
              <w:textAlignment w:val="auto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позитивний</w:t>
            </w:r>
          </w:p>
        </w:tc>
        <w:tc>
          <w:tcPr>
            <w:tcW w:w="3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left"/>
              <w:textAlignment w:val="auto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надання можливості до 01.01.2022 вводити в обіг обладнання без проведення його оцінки відповідності вимогам Технічного регламенту </w:t>
            </w:r>
          </w:p>
        </w:tc>
      </w:tr>
    </w:tbl>
    <w:p>
      <w:pPr>
        <w:pStyle w:val="Normal"/>
        <w:widowControl/>
        <w:tabs>
          <w:tab w:val="left" w:pos="6345" w:leader="none"/>
        </w:tabs>
        <w:bidi w:val="0"/>
        <w:ind w:left="0" w:right="0" w:hanging="0"/>
        <w:jc w:val="both"/>
        <w:textAlignment w:val="auto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widowControl/>
        <w:tabs>
          <w:tab w:val="left" w:pos="6345" w:leader="none"/>
        </w:tabs>
        <w:bidi w:val="0"/>
        <w:ind w:left="0" w:right="0" w:hanging="0"/>
        <w:jc w:val="both"/>
        <w:textAlignment w:val="auto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widowControl/>
        <w:tabs>
          <w:tab w:val="left" w:pos="6345" w:leader="none"/>
        </w:tabs>
        <w:bidi w:val="0"/>
        <w:ind w:left="0" w:right="0" w:hanging="0"/>
        <w:jc w:val="both"/>
        <w:textAlignment w:val="auto"/>
        <w:rPr>
          <w:lang w:val="uk-UA"/>
        </w:rPr>
      </w:pPr>
      <w:r>
        <w:rPr>
          <w:b/>
          <w:sz w:val="28"/>
          <w:szCs w:val="28"/>
          <w:lang w:val="uk-UA"/>
        </w:rPr>
        <w:t xml:space="preserve">Перший віце-прем’єр-міністр України – </w:t>
      </w:r>
    </w:p>
    <w:p>
      <w:pPr>
        <w:pStyle w:val="Normal"/>
        <w:widowControl/>
        <w:tabs>
          <w:tab w:val="left" w:pos="6345" w:leader="none"/>
        </w:tabs>
        <w:bidi w:val="0"/>
        <w:ind w:left="0" w:right="0" w:hanging="0"/>
        <w:jc w:val="both"/>
        <w:textAlignment w:val="auto"/>
        <w:rPr>
          <w:lang w:val="uk-UA"/>
        </w:rPr>
      </w:pPr>
      <w:r>
        <w:rPr>
          <w:b/>
          <w:sz w:val="28"/>
          <w:szCs w:val="28"/>
          <w:lang w:val="uk-UA"/>
        </w:rPr>
        <w:t>Міністр економіки України</w:t>
        <w:tab/>
        <w:tab/>
        <w:t xml:space="preserve">      Олексій ЛЮБЧЕНКО</w:t>
      </w:r>
    </w:p>
    <w:p>
      <w:pPr>
        <w:pStyle w:val="Normal"/>
        <w:widowControl/>
        <w:pBdr/>
        <w:tabs>
          <w:tab w:val="left" w:pos="6345" w:leader="none"/>
        </w:tabs>
        <w:bidi w:val="0"/>
        <w:ind w:left="0" w:right="0" w:hanging="0"/>
        <w:jc w:val="both"/>
        <w:textAlignment w:val="auto"/>
        <w:rPr/>
      </w:pPr>
      <w:r>
        <w:rPr>
          <w:b/>
          <w:sz w:val="28"/>
          <w:szCs w:val="28"/>
          <w:lang w:val="uk-UA"/>
        </w:rPr>
        <w:t>____ _____________ 20__ р.</w:t>
      </w:r>
    </w:p>
    <w:sectPr>
      <w:headerReference w:type="default" r:id="rId2"/>
      <w:type w:val="nextPage"/>
      <w:pgSz w:w="11906" w:h="16838"/>
      <w:pgMar w:left="1701" w:right="567" w:header="709" w:top="851" w:footer="0" w:bottom="1701" w:gutter="0"/>
      <w:pgNumType w:fmt="decimal"/>
      <w:formProt w:val="false"/>
      <w:titlePg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Antiqua">
    <w:charset w:val="01"/>
    <w:family w:val="roman"/>
    <w:pitch w:val="variable"/>
  </w:font>
  <w:font w:name="Calibri">
    <w:charset w:val="01"/>
    <w:family w:val="roman"/>
    <w:pitch w:val="variable"/>
  </w:font>
  <w:font w:name="Verdan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widowControl/>
      <w:tabs>
        <w:tab w:val="center" w:pos="4677" w:leader="none"/>
        <w:tab w:val="right" w:pos="9355" w:leader="none"/>
      </w:tabs>
      <w:bidi w:val="0"/>
      <w:ind w:left="0" w:right="0" w:hanging="0"/>
      <w:jc w:val="left"/>
      <w:textAlignment w:val="auto"/>
      <w:rPr>
        <w:rFonts w:ascii="Times New Roman" w:hAnsi="Times New Roman" w:cs="Times New Roman"/>
        <w:sz w:val="24"/>
        <w:szCs w:val="24"/>
        <w:lang w:val="uk-UA" w:eastAsia="ru-RU" w:bidi="ar-SA"/>
      </w:rPr>
    </w:pPr>
    <w:r>
      <w:rPr>
        <w:rFonts w:cs="Times New Roman"/>
        <w:sz w:val="24"/>
        <w:szCs w:val="24"/>
        <w:lang w:val="uk-UA" w:eastAsia="ru-RU" w:bidi="ar-SA"/>
      </w:rPr>
    </w:r>
    <w:r>
      <mc:AlternateContent>
        <mc:Choice Requires="wps">
          <w:drawing>
            <wp:anchor behindDoc="0" distT="0" distB="0" distL="0" distR="0" simplePos="0" locked="0" layoutInCell="1" allowOverlap="1" relativeHeight="4">
              <wp:simplePos x="0" y="0"/>
              <wp:positionH relativeFrom="page">
                <wp:posOffset>4229100</wp:posOffset>
              </wp:positionH>
              <wp:positionV relativeFrom="paragraph">
                <wp:posOffset>14605</wp:posOffset>
              </wp:positionV>
              <wp:extent cx="76835" cy="175260"/>
              <wp:effectExtent l="0" t="0" r="0" b="0"/>
              <wp:wrapTopAndBottom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widowControl/>
                            <w:pBdr/>
                            <w:tabs>
                              <w:tab w:val="center" w:pos="4677" w:leader="none"/>
                              <w:tab w:val="right" w:pos="9355" w:leader="none"/>
                            </w:tabs>
                            <w:bidi w:val="0"/>
                            <w:ind w:left="0" w:right="0" w:hanging="0"/>
                            <w:jc w:val="left"/>
                            <w:textAlignment w:val="auto"/>
                            <w:rPr/>
                          </w:pPr>
                          <w:r>
                            <w:rPr>
                              <w:rStyle w:val="Pagenumber"/>
                              <w:rFonts w:cs="Times New Roman"/>
                              <w:sz w:val="24"/>
                              <w:szCs w:val="24"/>
                              <w:lang w:val="ru-RU" w:eastAsia="ru-RU" w:bidi="ar-SA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1.15pt;mso-position-vertical-relative:text;margin-left:333pt;mso-position-horizontal-relative:page">
              <v:fill opacity="0f"/>
              <v:textbox inset="0in,0in,0in,0in">
                <w:txbxContent>
                  <w:p>
                    <w:pPr>
                      <w:pStyle w:val="Style24"/>
                      <w:widowControl/>
                      <w:pBdr/>
                      <w:tabs>
                        <w:tab w:val="center" w:pos="4677" w:leader="none"/>
                        <w:tab w:val="right" w:pos="9355" w:leader="none"/>
                      </w:tabs>
                      <w:bidi w:val="0"/>
                      <w:ind w:left="0" w:right="0" w:hanging="0"/>
                      <w:jc w:val="left"/>
                      <w:textAlignment w:val="auto"/>
                      <w:rPr/>
                    </w:pPr>
                    <w:r>
                      <w:rPr>
                        <w:rStyle w:val="Pagenumber"/>
                        <w:rFonts w:cs="Times New Roman"/>
                        <w:sz w:val="24"/>
                        <w:szCs w:val="24"/>
                        <w:lang w:val="ru-RU" w:eastAsia="ru-RU" w:bidi="ar-SA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  <w:p>
    <w:pPr>
      <w:pStyle w:val="Style24"/>
      <w:widowControl/>
      <w:tabs>
        <w:tab w:val="center" w:pos="4677" w:leader="none"/>
        <w:tab w:val="right" w:pos="9355" w:leader="none"/>
      </w:tabs>
      <w:bidi w:val="0"/>
      <w:ind w:left="0" w:right="0" w:hanging="0"/>
      <w:jc w:val="left"/>
      <w:textAlignment w:val="auto"/>
      <w:rPr>
        <w:rFonts w:ascii="Times New Roman" w:hAnsi="Times New Roman" w:cs="Times New Roman"/>
        <w:sz w:val="24"/>
        <w:szCs w:val="24"/>
        <w:lang w:val="uk-UA" w:eastAsia="ru-RU" w:bidi="ar-SA"/>
      </w:rPr>
    </w:pPr>
    <w:r>
      <w:rPr>
        <w:rFonts w:cs="Times New Roman"/>
        <w:sz w:val="24"/>
        <w:szCs w:val="24"/>
        <w:lang w:val="uk-UA" w:eastAsia="ru-RU" w:bidi="ar-SA"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ind w:left="0" w:right="0" w:hanging="0"/>
      <w:jc w:val="left"/>
      <w:textAlignment w:val="auto"/>
    </w:pPr>
    <w:rPr>
      <w:rFonts w:ascii="Times New Roman" w:hAnsi="Times New Roman" w:eastAsia="Courier New" w:cs="Times New Roman"/>
      <w:color w:val="auto"/>
      <w:sz w:val="24"/>
      <w:szCs w:val="24"/>
      <w:lang w:val="ru-RU" w:eastAsia="ru-RU" w:bidi="ar-SA"/>
    </w:rPr>
  </w:style>
  <w:style w:type="paragraph" w:styleId="2">
    <w:name w:val="Heading 2"/>
    <w:basedOn w:val="Normal"/>
    <w:qFormat/>
    <w:pPr>
      <w:keepNext/>
      <w:widowControl/>
      <w:spacing w:before="240" w:after="60"/>
      <w:ind w:left="0" w:right="0" w:hanging="0"/>
      <w:jc w:val="left"/>
      <w:textAlignment w:val="auto"/>
      <w:outlineLvl w:val="1"/>
    </w:pPr>
    <w:rPr>
      <w:rFonts w:ascii="Calibri Light" w:hAnsi="Calibri Light" w:cs="Times New Roman"/>
      <w:b/>
      <w:bCs/>
      <w:i/>
      <w:iCs/>
      <w:sz w:val="28"/>
      <w:szCs w:val="28"/>
      <w:lang w:val="ru-RU" w:eastAsia="ru-RU" w:bidi="ar-SA"/>
    </w:rPr>
  </w:style>
  <w:style w:type="paragraph" w:styleId="3">
    <w:name w:val="Heading 3"/>
    <w:basedOn w:val="Normal"/>
    <w:qFormat/>
    <w:pPr>
      <w:widowControl/>
      <w:spacing w:beforeAutospacing="1" w:afterAutospacing="1"/>
      <w:ind w:left="0" w:right="0" w:hanging="0"/>
      <w:jc w:val="left"/>
      <w:textAlignment w:val="auto"/>
      <w:outlineLvl w:val="2"/>
    </w:pPr>
    <w:rPr>
      <w:rFonts w:cs="Times New Roman"/>
      <w:b/>
      <w:bCs/>
      <w:sz w:val="27"/>
      <w:szCs w:val="27"/>
      <w:lang w:val="uk-UA" w:eastAsia="uk-UA" w:bidi="ar-SA"/>
    </w:rPr>
  </w:style>
  <w:style w:type="character" w:styleId="DefaultParagraphFont">
    <w:name w:val="Default Paragraph Font"/>
    <w:qFormat/>
    <w:rPr/>
  </w:style>
  <w:style w:type="character" w:styleId="21">
    <w:name w:val="Заголовок 2 Знак"/>
    <w:basedOn w:val="DefaultParagraphFont"/>
    <w:qFormat/>
    <w:rPr>
      <w:rFonts w:ascii="Calibri Light" w:hAnsi="Calibri Light" w:cs="Times New Roman"/>
      <w:b/>
      <w:i/>
      <w:sz w:val="28"/>
      <w:lang w:val="ru-RU" w:eastAsia="ru-RU"/>
    </w:rPr>
  </w:style>
  <w:style w:type="character" w:styleId="31">
    <w:name w:val="Заголовок 3 Знак"/>
    <w:basedOn w:val="DefaultParagraphFont"/>
    <w:qFormat/>
    <w:rPr>
      <w:rFonts w:ascii="Cambria" w:hAnsi="Cambria" w:cs="Times New Roman"/>
      <w:b/>
      <w:bCs/>
      <w:sz w:val="26"/>
      <w:szCs w:val="26"/>
      <w:lang w:val="ru-RU" w:eastAsia="ru-RU"/>
    </w:rPr>
  </w:style>
  <w:style w:type="character" w:styleId="Style12">
    <w:name w:val="Текст выноски Знак"/>
    <w:basedOn w:val="DefaultParagraphFont"/>
    <w:qFormat/>
    <w:rPr>
      <w:rFonts w:ascii="Tahoma" w:hAnsi="Tahoma" w:cs="Tahoma"/>
      <w:sz w:val="16"/>
      <w:szCs w:val="16"/>
      <w:lang w:val="ru-RU" w:eastAsia="ru-RU"/>
    </w:rPr>
  </w:style>
  <w:style w:type="character" w:styleId="HTML">
    <w:name w:val="Стандартный HTML Знак"/>
    <w:basedOn w:val="DefaultParagraphFont"/>
    <w:qFormat/>
    <w:rPr>
      <w:rFonts w:ascii="Courier New" w:hAnsi="Courier New" w:cs="Times New Roman"/>
      <w:color w:val="000000"/>
      <w:sz w:val="21"/>
    </w:rPr>
  </w:style>
  <w:style w:type="character" w:styleId="32">
    <w:name w:val="Основной текст 3 Знак"/>
    <w:basedOn w:val="DefaultParagraphFont"/>
    <w:qFormat/>
    <w:rPr>
      <w:rFonts w:cs="Times New Roman"/>
      <w:sz w:val="16"/>
      <w:lang w:val="ru-RU" w:eastAsia="uk-UA"/>
    </w:rPr>
  </w:style>
  <w:style w:type="character" w:styleId="Style13">
    <w:name w:val="Верхний колонтитул Знак"/>
    <w:basedOn w:val="DefaultParagraphFont"/>
    <w:qFormat/>
    <w:rPr>
      <w:rFonts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qFormat/>
    <w:rPr>
      <w:rFonts w:cs="Times New Roman"/>
    </w:rPr>
  </w:style>
  <w:style w:type="character" w:styleId="FontStyle13">
    <w:name w:val="Font Style13"/>
    <w:qFormat/>
    <w:rPr>
      <w:rFonts w:ascii="Times New Roman" w:hAnsi="Times New Roman"/>
      <w:b/>
      <w:color w:val="000000"/>
      <w:sz w:val="26"/>
    </w:rPr>
  </w:style>
  <w:style w:type="character" w:styleId="FontStyle12">
    <w:name w:val="Font Style12"/>
    <w:qFormat/>
    <w:rPr>
      <w:rFonts w:ascii="Times New Roman" w:hAnsi="Times New Roman"/>
      <w:sz w:val="24"/>
    </w:rPr>
  </w:style>
  <w:style w:type="character" w:styleId="Style14">
    <w:name w:val="Основной текст с отступом Знак"/>
    <w:basedOn w:val="DefaultParagraphFont"/>
    <w:qFormat/>
    <w:rPr>
      <w:rFonts w:cs="Times New Roman"/>
      <w:sz w:val="24"/>
    </w:rPr>
  </w:style>
  <w:style w:type="character" w:styleId="22">
    <w:name w:val="Основной текст с отступом 2 Знак"/>
    <w:basedOn w:val="DefaultParagraphFont"/>
    <w:qFormat/>
    <w:rPr>
      <w:rFonts w:cs="Times New Roman"/>
      <w:sz w:val="24"/>
      <w:lang w:val="uk-UA" w:eastAsia="uk-UA"/>
    </w:rPr>
  </w:style>
  <w:style w:type="character" w:styleId="33">
    <w:name w:val="Основной текст с отступом 3 Знак"/>
    <w:basedOn w:val="DefaultParagraphFont"/>
    <w:qFormat/>
    <w:rPr>
      <w:rFonts w:cs="Times New Roman"/>
      <w:sz w:val="16"/>
    </w:rPr>
  </w:style>
  <w:style w:type="character" w:styleId="Rvts23">
    <w:name w:val="rvts23"/>
    <w:basedOn w:val="DefaultParagraphFont"/>
    <w:qFormat/>
    <w:rPr>
      <w:rFonts w:cs="Times New Roman"/>
    </w:rPr>
  </w:style>
  <w:style w:type="character" w:styleId="Style15">
    <w:name w:val="Основний текст_"/>
    <w:qFormat/>
    <w:rPr>
      <w:sz w:val="27"/>
      <w:shd w:fill="FFFFFF" w:val="clear"/>
    </w:rPr>
  </w:style>
  <w:style w:type="character" w:styleId="Iniiaiieoeoo1">
    <w:name w:val="Iniiaiie o?eoo1"/>
    <w:qFormat/>
    <w:rPr/>
  </w:style>
  <w:style w:type="character" w:styleId="Style16">
    <w:name w:val="Нижний колонтитул Знак"/>
    <w:basedOn w:val="DefaultParagraphFont"/>
    <w:qFormat/>
    <w:rPr>
      <w:rFonts w:cs="Times New Roman"/>
      <w:sz w:val="24"/>
      <w:szCs w:val="24"/>
      <w:lang w:val="ru-RU" w:eastAsia="ru-RU"/>
    </w:rPr>
  </w:style>
  <w:style w:type="character" w:styleId="Rvts9">
    <w:name w:val="rvts9"/>
    <w:basedOn w:val="DefaultParagraphFont"/>
    <w:qFormat/>
    <w:rPr>
      <w:rFonts w:cs="Times New Roman"/>
    </w:rPr>
  </w:style>
  <w:style w:type="character" w:styleId="Appleconvertedspace">
    <w:name w:val="apple-converted-space"/>
    <w:basedOn w:val="DefaultParagraphFont"/>
    <w:qFormat/>
    <w:rPr>
      <w:rFonts w:cs="Times New Roman"/>
    </w:rPr>
  </w:style>
  <w:style w:type="character" w:styleId="Style17">
    <w:name w:val="Интернет-ссылка"/>
    <w:basedOn w:val="DefaultParagraphFont"/>
    <w:rPr>
      <w:rFonts w:cs="Times New Roman"/>
      <w:color w:val="0000FF"/>
      <w:u w:val="single"/>
    </w:rPr>
  </w:style>
  <w:style w:type="character" w:styleId="Rvts0">
    <w:name w:val="rvts0"/>
    <w:basedOn w:val="DefaultParagraphFont"/>
    <w:qFormat/>
    <w:rPr>
      <w:rFonts w:cs="Times New Roman"/>
    </w:rPr>
  </w:style>
  <w:style w:type="character" w:styleId="Rvts46">
    <w:name w:val="rvts46"/>
    <w:basedOn w:val="DefaultParagraphFont"/>
    <w:qFormat/>
    <w:rPr>
      <w:rFonts w:cs="Times New Roman"/>
    </w:rPr>
  </w:style>
  <w:style w:type="character" w:styleId="Style18">
    <w:name w:val="Основной текст Знак"/>
    <w:basedOn w:val="DefaultParagraphFont"/>
    <w:qFormat/>
    <w:rPr>
      <w:rFonts w:cs="Times New Roman"/>
      <w:sz w:val="24"/>
      <w:lang w:val="ru-RU" w:eastAsia="ru-RU"/>
    </w:rPr>
  </w:style>
  <w:style w:type="character" w:styleId="125pt2">
    <w:name w:val="Основной текст + 12,5 pt2,Полужирный"/>
    <w:qFormat/>
    <w:rPr>
      <w:rFonts w:ascii="Times New Roman" w:hAnsi="Times New Roman"/>
      <w:b/>
      <w:spacing w:val="3"/>
      <w:sz w:val="25"/>
      <w:u w:val="none"/>
      <w:lang w:val="ru-RU" w:eastAsia="ru-RU"/>
    </w:rPr>
  </w:style>
  <w:style w:type="character" w:styleId="9">
    <w:name w:val="Основной текст (9)_"/>
    <w:qFormat/>
    <w:rPr>
      <w:spacing w:val="11"/>
    </w:rPr>
  </w:style>
  <w:style w:type="character" w:styleId="91">
    <w:name w:val="Основной текст (9)"/>
    <w:qFormat/>
    <w:rPr>
      <w:rFonts w:ascii="Times New Roman" w:hAnsi="Times New Roman"/>
      <w:spacing w:val="11"/>
      <w:u w:val="single"/>
    </w:rPr>
  </w:style>
  <w:style w:type="character" w:styleId="10">
    <w:name w:val="Основной текст (10)_"/>
    <w:qFormat/>
    <w:rPr>
      <w:spacing w:val="11"/>
      <w:sz w:val="19"/>
    </w:rPr>
  </w:style>
  <w:style w:type="character" w:styleId="101">
    <w:name w:val="Основной текст (10)"/>
    <w:qFormat/>
    <w:rPr>
      <w:rFonts w:ascii="Times New Roman" w:hAnsi="Times New Roman"/>
      <w:spacing w:val="11"/>
      <w:sz w:val="19"/>
      <w:u w:val="single"/>
    </w:rPr>
  </w:style>
  <w:style w:type="character" w:styleId="11pt10pt12">
    <w:name w:val="Основной текст + 11 pt1,Интервал 0 pt12"/>
    <w:qFormat/>
    <w:rPr>
      <w:rFonts w:ascii="Times New Roman" w:hAnsi="Times New Roman"/>
      <w:spacing w:val="2"/>
      <w:sz w:val="22"/>
      <w:u w:val="none"/>
      <w:lang w:val="ru-RU" w:eastAsia="ru-RU"/>
    </w:rPr>
  </w:style>
  <w:style w:type="character" w:styleId="10Tahoma7pt10pt10">
    <w:name w:val="Основной текст (10) + Tahoma,7 pt1,Интервал 0 pt10"/>
    <w:qFormat/>
    <w:rPr>
      <w:rFonts w:ascii="Tahoma" w:hAnsi="Tahoma"/>
      <w:spacing w:val="-3"/>
      <w:sz w:val="14"/>
      <w:u w:val="none"/>
    </w:rPr>
  </w:style>
  <w:style w:type="character" w:styleId="1012pt0pt9">
    <w:name w:val="Основной текст (10) + 12 pt,Интервал 0 pt9"/>
    <w:qFormat/>
    <w:rPr>
      <w:rFonts w:ascii="Times New Roman" w:hAnsi="Times New Roman"/>
      <w:spacing w:val="3"/>
      <w:sz w:val="24"/>
      <w:u w:val="none"/>
    </w:rPr>
  </w:style>
  <w:style w:type="character" w:styleId="Linenumber">
    <w:name w:val="line number"/>
    <w:basedOn w:val="DefaultParagraphFont"/>
    <w:qFormat/>
    <w:rPr>
      <w:rFonts w:cs="Times New Roman"/>
    </w:rPr>
  </w:style>
  <w:style w:type="character" w:styleId="4">
    <w:name w:val="Основной текст (4)_"/>
    <w:qFormat/>
    <w:rPr>
      <w:shd w:fill="FFFFFF" w:val="clear"/>
    </w:rPr>
  </w:style>
  <w:style w:type="character" w:styleId="Rvts37">
    <w:name w:val="rvts37"/>
    <w:basedOn w:val="DefaultParagraphFont"/>
    <w:qFormat/>
    <w:rPr>
      <w:rFonts w:cs="Times New Roman"/>
    </w:rPr>
  </w:style>
  <w:style w:type="character" w:styleId="HTMLPreformattedChar">
    <w:name w:val="HTML Preformatted Char"/>
    <w:qFormat/>
    <w:rPr>
      <w:rFonts w:ascii="Courier New" w:hAnsi="Courier New"/>
      <w:color w:val="000000"/>
      <w:sz w:val="21"/>
      <w:lang w:val="uk-UA" w:eastAsia="uk-UA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 CYR"/>
    </w:rPr>
  </w:style>
  <w:style w:type="character" w:styleId="ListLabel20">
    <w:name w:val="ListLabel 20"/>
    <w:qFormat/>
    <w:rPr>
      <w:rFonts w:eastAsia="Times New Roman"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eastAsia="Times New Roman" w:cs="Times New Roman"/>
    </w:rPr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20">
    <w:name w:val="Body Text"/>
    <w:basedOn w:val="Normal"/>
    <w:pPr>
      <w:widowControl/>
      <w:spacing w:before="0" w:after="120"/>
      <w:ind w:left="0" w:right="0" w:hanging="0"/>
      <w:jc w:val="left"/>
      <w:textAlignment w:val="auto"/>
    </w:pPr>
    <w:rPr>
      <w:rFonts w:cs="Times New Roman"/>
      <w:sz w:val="24"/>
      <w:szCs w:val="24"/>
      <w:lang w:val="ru-RU" w:eastAsia="ru-RU" w:bidi="ar-SA"/>
    </w:rPr>
  </w:style>
  <w:style w:type="paragraph" w:styleId="Style21">
    <w:name w:val="List"/>
    <w:basedOn w:val="Style20"/>
    <w:pPr/>
    <w:rPr>
      <w:rFonts w:cs="Free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FreeSans"/>
    </w:rPr>
  </w:style>
  <w:style w:type="paragraph" w:styleId="DocumentMap">
    <w:name w:val="DocumentMap"/>
    <w:qFormat/>
    <w:pPr>
      <w:widowControl/>
      <w:bidi w:val="0"/>
      <w:spacing w:lineRule="auto" w:line="276" w:before="0" w:after="200"/>
      <w:ind w:left="0" w:right="0" w:hanging="0"/>
      <w:jc w:val="left"/>
      <w:textAlignment w:val="auto"/>
    </w:pPr>
    <w:rPr>
      <w:rFonts w:ascii="Times New Roman" w:hAnsi="Times New Roman" w:eastAsia="Courier New" w:cs="Times New Roman"/>
      <w:color w:val="auto"/>
      <w:sz w:val="22"/>
      <w:szCs w:val="22"/>
      <w:lang w:val="uk-UA" w:eastAsia="uk-UA" w:bidi="ar-SA"/>
    </w:rPr>
  </w:style>
  <w:style w:type="paragraph" w:styleId="BalloonText">
    <w:name w:val="Balloon Text"/>
    <w:basedOn w:val="Normal"/>
    <w:qFormat/>
    <w:pPr>
      <w:widowControl/>
      <w:ind w:left="0" w:right="0" w:hanging="0"/>
      <w:jc w:val="left"/>
      <w:textAlignment w:val="auto"/>
    </w:pPr>
    <w:rPr>
      <w:rFonts w:ascii="Tahoma" w:hAnsi="Tahoma" w:cs="Tahoma"/>
      <w:sz w:val="16"/>
      <w:szCs w:val="16"/>
      <w:lang w:val="ru-RU" w:eastAsia="ru-RU" w:bidi="ar-SA"/>
    </w:rPr>
  </w:style>
  <w:style w:type="paragraph" w:styleId="HTMLPreformatted">
    <w:name w:val="HTML Preformatted"/>
    <w:basedOn w:val="Normal"/>
    <w:qFormat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ind w:left="0" w:right="0" w:hanging="0"/>
      <w:jc w:val="left"/>
      <w:textAlignment w:val="auto"/>
    </w:pPr>
    <w:rPr>
      <w:rFonts w:ascii="Courier New" w:hAnsi="Courier New" w:cs="Times New Roman"/>
      <w:color w:val="000000"/>
      <w:sz w:val="21"/>
      <w:szCs w:val="21"/>
      <w:lang w:val="uk-UA" w:eastAsia="uk-UA" w:bidi="ar-SA"/>
    </w:rPr>
  </w:style>
  <w:style w:type="paragraph" w:styleId="BodyText3">
    <w:name w:val="Body Text 3"/>
    <w:basedOn w:val="Normal"/>
    <w:qFormat/>
    <w:pPr>
      <w:widowControl/>
      <w:spacing w:before="0" w:after="120"/>
      <w:ind w:left="0" w:right="0" w:hanging="0"/>
      <w:jc w:val="left"/>
      <w:textAlignment w:val="auto"/>
    </w:pPr>
    <w:rPr>
      <w:rFonts w:cs="Times New Roman"/>
      <w:sz w:val="16"/>
      <w:szCs w:val="16"/>
      <w:lang w:val="uk-UA" w:eastAsia="uk-UA" w:bidi="ar-SA"/>
    </w:rPr>
  </w:style>
  <w:style w:type="paragraph" w:styleId="Style24">
    <w:name w:val="Header"/>
    <w:basedOn w:val="Normal"/>
    <w:pPr>
      <w:widowControl/>
      <w:tabs>
        <w:tab w:val="center" w:pos="4677" w:leader="none"/>
        <w:tab w:val="right" w:pos="9355" w:leader="none"/>
      </w:tabs>
      <w:ind w:left="0" w:right="0" w:hanging="0"/>
      <w:jc w:val="left"/>
      <w:textAlignment w:val="auto"/>
    </w:pPr>
    <w:rPr>
      <w:rFonts w:cs="Times New Roman"/>
      <w:sz w:val="24"/>
      <w:szCs w:val="24"/>
      <w:lang w:val="ru-RU" w:eastAsia="ru-RU" w:bidi="ar-SA"/>
    </w:rPr>
  </w:style>
  <w:style w:type="paragraph" w:styleId="NormalWeb">
    <w:name w:val="Normal (Web)"/>
    <w:basedOn w:val="Normal"/>
    <w:qFormat/>
    <w:pPr>
      <w:widowControl/>
      <w:spacing w:beforeAutospacing="1" w:afterAutospacing="1"/>
      <w:ind w:left="0" w:right="0" w:hanging="0"/>
      <w:jc w:val="left"/>
      <w:textAlignment w:val="auto"/>
    </w:pPr>
    <w:rPr>
      <w:rFonts w:cs="Times New Roman"/>
      <w:sz w:val="24"/>
      <w:szCs w:val="24"/>
      <w:lang w:val="ru-RU" w:eastAsia="ru-RU" w:bidi="ar-SA"/>
    </w:rPr>
  </w:style>
  <w:style w:type="paragraph" w:styleId="Style41">
    <w:name w:val="Style4"/>
    <w:basedOn w:val="Normal"/>
    <w:qFormat/>
    <w:pPr>
      <w:widowControl w:val="false"/>
      <w:spacing w:lineRule="exact" w:line="317"/>
      <w:ind w:left="0" w:right="0" w:firstLine="730"/>
      <w:jc w:val="both"/>
      <w:textAlignment w:val="auto"/>
    </w:pPr>
    <w:rPr>
      <w:rFonts w:cs="Times New Roman"/>
      <w:sz w:val="24"/>
      <w:szCs w:val="24"/>
      <w:lang w:val="ru-RU" w:eastAsia="ru-RU" w:bidi="ar-SA"/>
    </w:rPr>
  </w:style>
  <w:style w:type="paragraph" w:styleId="FR1">
    <w:name w:val="FR1"/>
    <w:qFormat/>
    <w:pPr>
      <w:widowControl w:val="false"/>
      <w:bidi w:val="0"/>
      <w:ind w:left="5080" w:right="0" w:hanging="0"/>
      <w:jc w:val="left"/>
      <w:textAlignment w:val="auto"/>
    </w:pPr>
    <w:rPr>
      <w:rFonts w:ascii="Arial" w:hAnsi="Arial" w:eastAsia="Courier New" w:cs="Times New Roman"/>
      <w:b/>
      <w:i/>
      <w:color w:val="auto"/>
      <w:sz w:val="24"/>
      <w:szCs w:val="20"/>
      <w:lang w:val="uk-UA" w:eastAsia="ru-RU" w:bidi="ar-SA"/>
    </w:rPr>
  </w:style>
  <w:style w:type="paragraph" w:styleId="Style25">
    <w:name w:val="Body Text Indent"/>
    <w:basedOn w:val="Normal"/>
    <w:pPr>
      <w:widowControl/>
      <w:spacing w:before="0" w:after="120"/>
      <w:ind w:left="283" w:right="0" w:hanging="0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BodyTextIndent2">
    <w:name w:val="Body Text Indent 2"/>
    <w:basedOn w:val="Normal"/>
    <w:qFormat/>
    <w:pPr>
      <w:widowControl/>
      <w:spacing w:lineRule="auto" w:line="480" w:before="0" w:after="120"/>
      <w:ind w:left="283" w:right="0" w:hanging="0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BodyTextIndent3">
    <w:name w:val="Body Text Indent 3"/>
    <w:basedOn w:val="Normal"/>
    <w:qFormat/>
    <w:pPr>
      <w:widowControl/>
      <w:spacing w:before="0" w:after="120"/>
      <w:ind w:left="283" w:right="0" w:hanging="0"/>
      <w:jc w:val="left"/>
      <w:textAlignment w:val="auto"/>
    </w:pPr>
    <w:rPr>
      <w:rFonts w:cs="Times New Roman"/>
      <w:sz w:val="16"/>
      <w:szCs w:val="16"/>
      <w:lang w:val="uk-UA" w:eastAsia="uk-UA" w:bidi="ar-SA"/>
    </w:rPr>
  </w:style>
  <w:style w:type="paragraph" w:styleId="Rvps6">
    <w:name w:val="rvps6"/>
    <w:basedOn w:val="Normal"/>
    <w:qFormat/>
    <w:pPr>
      <w:widowControl/>
      <w:spacing w:beforeAutospacing="1" w:afterAutospacing="1"/>
      <w:ind w:left="0" w:right="0" w:hanging="0"/>
      <w:jc w:val="left"/>
      <w:textAlignment w:val="auto"/>
    </w:pPr>
    <w:rPr>
      <w:rFonts w:cs="Times New Roman"/>
      <w:color w:val="000000"/>
      <w:sz w:val="24"/>
      <w:szCs w:val="24"/>
      <w:lang w:val="ru-RU" w:eastAsia="ru-RU" w:bidi="ar-SA"/>
    </w:rPr>
  </w:style>
  <w:style w:type="paragraph" w:styleId="1">
    <w:name w:val="Основний текст1"/>
    <w:basedOn w:val="Normal"/>
    <w:qFormat/>
    <w:pPr>
      <w:widowControl/>
      <w:shd w:fill="FFFFFF"/>
      <w:spacing w:lineRule="atLeast" w:line="240" w:before="240" w:after="0"/>
      <w:ind w:left="0" w:right="0" w:hanging="0"/>
      <w:jc w:val="left"/>
      <w:textAlignment w:val="auto"/>
    </w:pPr>
    <w:rPr>
      <w:rFonts w:cs="Times New Roman"/>
      <w:sz w:val="27"/>
      <w:szCs w:val="27"/>
      <w:lang w:val="uk-UA" w:eastAsia="uk-UA" w:bidi="ar-SA"/>
    </w:rPr>
  </w:style>
  <w:style w:type="paragraph" w:styleId="Style26">
    <w:name w:val="Íîðìàëüíèé òåêñò"/>
    <w:basedOn w:val="Normal"/>
    <w:qFormat/>
    <w:pPr>
      <w:widowControl/>
      <w:spacing w:before="120" w:after="0"/>
      <w:ind w:left="0" w:right="0" w:firstLine="567"/>
      <w:jc w:val="left"/>
      <w:textAlignment w:val="auto"/>
    </w:pPr>
    <w:rPr>
      <w:rFonts w:ascii="Antiqua" w:hAnsi="Antiqua" w:cs="Times New Roman"/>
      <w:sz w:val="26"/>
      <w:szCs w:val="20"/>
      <w:lang w:val="uk-UA" w:eastAsia="ru-RU" w:bidi="ar-SA"/>
    </w:rPr>
  </w:style>
  <w:style w:type="paragraph" w:styleId="Style27">
    <w:name w:val="Footer"/>
    <w:basedOn w:val="Normal"/>
    <w:pPr>
      <w:widowControl/>
      <w:tabs>
        <w:tab w:val="center" w:pos="4819" w:leader="none"/>
        <w:tab w:val="right" w:pos="9639" w:leader="none"/>
      </w:tabs>
      <w:ind w:left="0" w:right="0" w:hanging="0"/>
      <w:jc w:val="left"/>
      <w:textAlignment w:val="auto"/>
    </w:pPr>
    <w:rPr>
      <w:rFonts w:cs="Times New Roman"/>
      <w:sz w:val="24"/>
      <w:szCs w:val="24"/>
      <w:lang w:val="ru-RU" w:eastAsia="ru-RU" w:bidi="ar-SA"/>
    </w:rPr>
  </w:style>
  <w:style w:type="paragraph" w:styleId="11">
    <w:name w:val="Абзац списка1"/>
    <w:basedOn w:val="Normal"/>
    <w:qFormat/>
    <w:pPr>
      <w:widowControl/>
      <w:spacing w:lineRule="auto" w:line="276" w:before="0" w:after="200"/>
      <w:ind w:left="720" w:right="0" w:hanging="0"/>
      <w:contextualSpacing/>
      <w:jc w:val="left"/>
      <w:textAlignment w:val="auto"/>
    </w:pPr>
    <w:rPr>
      <w:rFonts w:ascii="Calibri" w:hAnsi="Calibri" w:cs="Times New Roman"/>
      <w:sz w:val="22"/>
      <w:szCs w:val="22"/>
      <w:lang w:val="ru-RU" w:eastAsia="ru-RU" w:bidi="ar-SA"/>
    </w:rPr>
  </w:style>
  <w:style w:type="paragraph" w:styleId="ListParagraph">
    <w:name w:val="List Paragraph"/>
    <w:basedOn w:val="Normal"/>
    <w:qFormat/>
    <w:pPr>
      <w:widowControl/>
      <w:spacing w:lineRule="auto" w:line="276" w:before="0" w:after="200"/>
      <w:ind w:left="720" w:right="0" w:hanging="0"/>
      <w:contextualSpacing/>
      <w:jc w:val="left"/>
      <w:textAlignment w:val="auto"/>
    </w:pPr>
    <w:rPr>
      <w:rFonts w:ascii="Calibri" w:hAnsi="Calibri" w:cs="Times New Roman"/>
      <w:sz w:val="22"/>
      <w:szCs w:val="22"/>
      <w:lang w:val="ru-RU" w:eastAsia="ru-RU" w:bidi="ar-SA"/>
    </w:rPr>
  </w:style>
  <w:style w:type="paragraph" w:styleId="Style28">
    <w:name w:val="Íàçâà äîêóìåíòà"/>
    <w:basedOn w:val="Normal"/>
    <w:qFormat/>
    <w:pPr>
      <w:keepNext/>
      <w:keepLines/>
      <w:widowControl/>
      <w:spacing w:before="240" w:after="240"/>
      <w:ind w:left="0" w:right="0" w:hanging="0"/>
      <w:jc w:val="center"/>
      <w:textAlignment w:val="auto"/>
    </w:pPr>
    <w:rPr>
      <w:rFonts w:ascii="Antiqua" w:hAnsi="Antiqua" w:cs="Times New Roman"/>
      <w:b/>
      <w:sz w:val="26"/>
      <w:szCs w:val="20"/>
      <w:lang w:val="uk-UA" w:eastAsia="ru-RU" w:bidi="ar-SA"/>
    </w:rPr>
  </w:style>
  <w:style w:type="paragraph" w:styleId="Rvps2">
    <w:name w:val="rvps2"/>
    <w:basedOn w:val="Normal"/>
    <w:qFormat/>
    <w:pPr>
      <w:widowControl/>
      <w:spacing w:beforeAutospacing="1" w:afterAutospacing="1"/>
      <w:ind w:left="0" w:right="0" w:hanging="0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34">
    <w:name w:val="Знак Знак3 Знак"/>
    <w:basedOn w:val="Normal"/>
    <w:qFormat/>
    <w:pPr>
      <w:widowControl/>
      <w:ind w:left="0" w:right="0" w:hanging="0"/>
      <w:jc w:val="left"/>
      <w:textAlignment w:val="auto"/>
    </w:pPr>
    <w:rPr>
      <w:rFonts w:ascii="Verdana" w:hAnsi="Verdana" w:cs="Verdana"/>
      <w:sz w:val="24"/>
      <w:szCs w:val="24"/>
      <w:lang w:val="en-US" w:eastAsia="en-US" w:bidi="ar-SA"/>
    </w:rPr>
  </w:style>
  <w:style w:type="paragraph" w:styleId="911">
    <w:name w:val="Основной текст (9)1"/>
    <w:basedOn w:val="Normal"/>
    <w:qFormat/>
    <w:pPr>
      <w:widowControl w:val="false"/>
      <w:shd w:fill="FFFFFF"/>
      <w:spacing w:lineRule="atLeast" w:line="240" w:before="420" w:after="540"/>
      <w:ind w:left="0" w:right="0" w:hanging="0"/>
      <w:jc w:val="center"/>
      <w:textAlignment w:val="auto"/>
    </w:pPr>
    <w:rPr>
      <w:rFonts w:cs="Times New Roman"/>
      <w:spacing w:val="11"/>
      <w:sz w:val="20"/>
      <w:szCs w:val="20"/>
      <w:lang w:val="ru-RU" w:eastAsia="ru-RU" w:bidi="ar-SA"/>
    </w:rPr>
  </w:style>
  <w:style w:type="paragraph" w:styleId="1011">
    <w:name w:val="Основной текст (10)1"/>
    <w:basedOn w:val="Normal"/>
    <w:qFormat/>
    <w:pPr>
      <w:widowControl w:val="false"/>
      <w:shd w:fill="FFFFFF"/>
      <w:spacing w:lineRule="exact" w:line="274"/>
      <w:ind w:left="0" w:right="0" w:hanging="0"/>
      <w:jc w:val="both"/>
      <w:textAlignment w:val="auto"/>
    </w:pPr>
    <w:rPr>
      <w:rFonts w:cs="Times New Roman"/>
      <w:spacing w:val="11"/>
      <w:sz w:val="19"/>
      <w:szCs w:val="19"/>
      <w:lang w:val="ru-RU" w:eastAsia="ru-RU" w:bidi="ar-SA"/>
    </w:rPr>
  </w:style>
  <w:style w:type="paragraph" w:styleId="41">
    <w:name w:val="Основной текст (4)"/>
    <w:basedOn w:val="Normal"/>
    <w:qFormat/>
    <w:pPr/>
    <w:rPr>
      <w:rFonts w:cs="Times New Roman"/>
      <w:sz w:val="20"/>
      <w:szCs w:val="20"/>
      <w:shd w:fill="FFFFFF" w:val="clear"/>
      <w:lang w:val="ru-RU" w:eastAsia="ru-RU" w:bidi="ar-SA"/>
    </w:rPr>
  </w:style>
  <w:style w:type="paragraph" w:styleId="Rvps12">
    <w:name w:val="rvps12"/>
    <w:basedOn w:val="Normal"/>
    <w:qFormat/>
    <w:pPr>
      <w:widowControl/>
      <w:spacing w:beforeAutospacing="1" w:afterAutospacing="1"/>
      <w:ind w:left="0" w:right="0" w:hanging="0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Style29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LibreOffice/5.1.6.2$Linux_X86_64 LibreOffice_project/10m0$Build-2</Application>
  <Pages>99</Pages>
  <Words>4764</Words>
  <Characters>7467</Characters>
  <CharactersWithSpaces>2717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2021-03-12T11:32:00Z</dcterms:created>
  <dc:creator>11</dc:creator>
  <dc:description/>
  <dc:language>ru-RU</dc:language>
  <cp:lastModifiedBy/>
  <cp:lastPrinted>2021-03-12T13:48:00Z</cp:lastPrinted>
  <dcterms:modified xsi:type="dcterms:W3CDTF">2021-05-28T12:51:00Z</dcterms:modified>
  <cp:revision>28</cp:revision>
  <dc:subject/>
  <dc:title>ПОЯСНЮВАЛЬНА ЗАПИСКА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АТАМАНЕНКО Віра Андріївна</vt:lpwstr>
  </property>
</Properties>
</file>